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aa259df86f8e92fe54258343a02829f92e908a"/>
    <w:p>
      <w:pPr>
        <w:pStyle w:val="Heading1"/>
      </w:pPr>
      <w:r>
        <w:t xml:space="preserve">[I128-2072] В режим Импорт из EXCEL-файла в БД PODB добавлена возможность откорректировать таблицу соответствия полей перед загрузкой.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06:10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73"/>
    <w:p>
      <w:pPr>
        <w:pStyle w:val="Heading3"/>
      </w:pPr>
      <w:r>
        <w:t xml:space="preserve">1.1. 🔗 Соответствует задача: I128-2073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[I128-2073]</w:t>
        </w:r>
      </w:hyperlink>
      <w:r>
        <w:t xml:space="preserve"> </w:t>
      </w:r>
      <w:r>
        <w:t xml:space="preserve">В режим Импорт из EXCEL-файла в БД PODB добавлена возможность откорректировать таблицу соответствия полей перед загрузкой.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[I128-2072] В режим Импорт из EXCEL-файла в БД PODB добавлена возможность откорректировать таблицу соответствия полей перед загрузкой.</dc:title>
  <dc:creator/>
  <cp:keywords/>
  <dcterms:created xsi:type="dcterms:W3CDTF">2026-10-06T12:18:03Z</dcterms:created>
  <dcterms:modified xsi:type="dcterms:W3CDTF">2026-10-06T12:18:03Z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