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[I128-2490] ЭДД: право просмотра заявки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bc987eb37e9b51cbdca21c5454ee1d6e6933bc"/>
    <w:p>
      <w:pPr>
        <w:pStyle w:val="Heading1"/>
      </w:pPr>
      <w:r>
        <w:t xml:space="preserve">[I128-2490] ЭДД: право просмотра заявки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заявки ЭДД право просмотра для IP добавляется в служебное поле 113 прямой записью из модуля CSpiderEDD. После выделения границы ответственности Security это оставляет часть сценария создания заявки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заявки ЭДД использует общий механизм Security для назначения права просмотра. Для пользователя сценарий не меняется: заявка создается, а доступ к ней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modules/CSpiderEDD/api.php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a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ra,</w:t>
      </w:r>
      <w:r>
        <w:rPr>
          <w:strike/>
        </w:rPr>
        <w:t xml:space="preserve"> </w:t>
      </w:r>
      <w:r>
        <w:rPr>
          <w:strike/>
        </w:rPr>
        <w:t xml:space="preserve">‘Ip’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‘view’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[I128-2490] ЭДД: право просмотра заявки назначается вне Security</dc:title>
  <dc:creator/>
  <cp:keywords/>
  <dcterms:created xsi:type="dcterms:W3CDTF">2026-10-06T14:17:44Z</dcterms:created>
  <dcterms:modified xsi:type="dcterms:W3CDTF">2026-10-06T14:17:44Z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