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 хранит проекты Workflow и связывает прикладные типы записей с workflow, схемами интерфейса, правилами идентификации и доступными типами связей записей проекта.</w:t>
      </w:r>
    </w:p>
    <w:bookmarkStart w:id="17" w:name="назначение-workflowproject"/>
    <w:p>
      <w:pPr>
        <w:pStyle w:val="Heading2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bookmarkStart w:id="18" w:name="X7d0afae73644aaef0685c61b729698814f715a2"/>
    <w:p>
      <w:pPr>
        <w:pStyle w:val="Heading2"/>
      </w:pPr>
      <w:r>
        <w:t xml:space="preserve">Повторная ссылка пропущена: Workflow/Modules/WorkflowProject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2026-10-10T02:04:08Z</dcterms:created>
  <dcterms:modified xsi:type="dcterms:W3CDTF">2026-10-10T02:04:08Z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