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[I128-2513] Окно преобразования PFT-формата в управлении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73ad051976a4e4d8b39902c0b5527297767f57b"/>
    <w:p>
      <w:pPr>
        <w:pStyle w:val="Heading1"/>
      </w:pPr>
      <w:r>
        <w:t xml:space="preserve">[I128-2513] Окно преобразования PFT-формата в управлении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10:14</w:t>
      </w:r>
    </w:p>
    <w:p>
      <w:pPr>
        <w:pStyle w:val="BodyText"/>
      </w:pPr>
      <w:r>
        <w:t xml:space="preserve">Добавляется пользовательское окно для преобразования PFT-формата из интерфейса управления БД.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открывает окно преобразования PFT для выбранной БД, вставляет текст PFT вручную или загружает локальный PFT-файл, выбирает режим вывода с переносами и отступами, запускает преобразование и видит результат в окне. После выполнения результат можно скачать как файл из рабочего каталога операции.</w:t>
      </w:r>
    </w:p>
    <w:p>
      <w:pPr>
        <w:pStyle w:val="BodyText"/>
      </w:pPr>
      <w:r>
        <w:t xml:space="preserve">Окно не принимает произвольные server-side пути. Загруженный файл проходит через общий безопасный файловый контур операций с форматами БД, а само преобразование выполняется через API Format/FmtPrint.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Добавляется wrapper Database/FmtPrint над Format/FmtPrint для запуска операции из интерфейса управления БД.</w:t>
      </w:r>
      <w:r>
        <w:t xml:space="preserve"> </w:t>
      </w:r>
      <w:r>
        <w:t xml:space="preserve">Добавляется действие Database/FmtPrint, которое проверяет БД и право VIEW, принимает текст или безопасно загруженный файл, сохраняет результат в рабочий каталог запуска и возвращает ссылку на скачивание.</w:t>
      </w:r>
      <w:r>
        <w:t xml:space="preserve"> </w:t>
      </w:r>
      <w:r>
        <w:t xml:space="preserve">Добавляется окно Database/FmtPrintWindow с ручным вводом PFT, загрузкой локального файла, переключателем форматированного вывода, просмотром результата и скачиванием файла результата.</w:t>
      </w:r>
      <w:r>
        <w:t xml:space="preserve"> </w:t>
      </w:r>
      <w:r>
        <w:t xml:space="preserve">Добавляется пользовательская документация по сценарию преобразования PFT-формата.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Задача требует I128</w:t>
      </w:r>
      <w:r>
        <w:rPr>
          <w:strike/>
        </w:rPr>
        <w:t xml:space="preserve">2509, где добавлен API Format/FmtPrint, и I128</w:t>
      </w:r>
      <w:r>
        <w:t xml:space="preserve">2512, где добавлен общий файловый контур операций с форматами БД.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4"/>
    <w:p>
      <w:pPr>
        <w:pStyle w:val="Heading3"/>
      </w:pPr>
      <w:r>
        <w:t xml:space="preserve">1.1. 🔗 blocks: I128-2614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[I128-2614]</w:t>
        </w:r>
      </w:hyperlink>
      <w:r>
        <w:t xml:space="preserve"> </w:t>
      </w:r>
      <w:r>
        <w:t xml:space="preserve">Навигация к новым разделам справки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5"/>
    <w:p>
      <w:pPr>
        <w:pStyle w:val="Heading3"/>
      </w:pPr>
      <w:r>
        <w:t xml:space="preserve">1.3. 🔗 blocks: I128-2625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09"/>
    <w:p>
      <w:pPr>
        <w:pStyle w:val="Heading3"/>
      </w:pPr>
      <w:r>
        <w:t xml:space="preserve">1.4. 🔗 blocks: I128-2509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[I128-2509]</w:t>
        </w:r>
      </w:hyperlink>
      <w:r>
        <w:t xml:space="preserve"> </w:t>
      </w:r>
      <w:r>
        <w:t xml:space="preserve">Преобразование PFT-формата в канонический и читаемый вид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12"/>
    <w:p>
      <w:pPr>
        <w:pStyle w:val="Heading3"/>
      </w:pPr>
      <w:r>
        <w:t xml:space="preserve">1.5. 🔗 blocks: I128-2512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509/README" TargetMode="External" /><Relationship Type="http://schemas.openxmlformats.org/officeDocument/2006/relationships/hyperlink" Id="rId17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14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509/README" TargetMode="External" /><Relationship Type="http://schemas.openxmlformats.org/officeDocument/2006/relationships/hyperlink" Id="rId17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14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[I128-2513] Окно преобразования PFT-формата в управлении БД</dc:title>
  <dc:creator/>
  <cp:keywords/>
  <dcterms:created xsi:type="dcterms:W3CDTF">2026-10-06T15:15:46Z</dcterms:created>
  <dcterms:modified xsi:type="dcterms:W3CDTF">2026-10-06T15:15:46Z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