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[I128-2697] Кнопка клиентского действия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7e66633255600cf5e7271428cac3f8e31670b"/>
    <w:p>
      <w:pPr>
        <w:pStyle w:val="Heading1"/>
      </w:pPr>
      <w:r>
        <w:t xml:space="preserve">[I128-2697] Кнопка клиентского действия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Редактор записи сможет показывать кнопку, которая выполняет клиентский ExtJS handler без сохранения отдельного поля в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объявляет поле с FieldEditor=ClientButton и передает текст, подсказку и handler. Редактор выводит кнопку в форме, handler может заполнить существующие поля формы или выполнить другое локальное действие.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Новый тип поля не влияет на существующие редакторы и не записывает значение в запись. Он используется только при явном FieldEditor=ClientButton.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2697: Кнопка клиентского действия в редакторе записи. Scope: he2;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feature/I128~~2697~~he2~~client~~button~~field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Кнопка клиентского действия в редакторе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modules/he2/FieldTypes/ClientButton.field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+51/-0.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Кнопка клиентского действия в редакторе записи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[I128-2697] Кнопка клиентского действия в редакторе записи</dc:title>
  <dc:creator/>
  <cp:keywords/>
  <dcterms:created xsi:type="dcterms:W3CDTF">2026-10-09T11:40:34Z</dcterms:created>
  <dcterms:modified xsi:type="dcterms:W3CDTF">2026-10-09T11:40:34Z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