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[I128-2389] Документировать действия явной паузы и запуска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30230ad2f78ccd4e260ec010e74b6b859a3cc1"/>
    <w:p>
      <w:pPr>
        <w:pStyle w:val="Heading1"/>
      </w:pPr>
      <w:r>
        <w:t xml:space="preserve">[I128-2389] Документировать действия явной паузы и запуска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15:17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Queue/AdminGuide/Monitoring</w:t>
      </w:r>
      <w:r>
        <w:t xml:space="preserve"> </w:t>
      </w:r>
      <w:r>
        <w:t xml:space="preserve">- в разделе управления состоянием очереди добавлено описание прямых действий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Документация уточняет разницу между кнопкой-переключателем на панели мониторинга и прямыми действиями для автоматизированных сценариев: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гарантированно переводит очередь в состояние паузы, а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гарантированно возобновляет обработку задач.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70"/>
    <w:p>
      <w:pPr>
        <w:pStyle w:val="Heading3"/>
      </w:pPr>
      <w:r>
        <w:t xml:space="preserve">1.1. 🔗 Соответствует задача: I128-2370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[I128-2370]</w:t>
        </w:r>
      </w:hyperlink>
      <w:r>
        <w:t xml:space="preserve"> </w:t>
      </w:r>
      <w:r>
        <w:t xml:space="preserve">Явное управление состоянием паузы в очереди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7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7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[I128-2389] Документировать действия явной паузы и запуска очереди задач</dc:title>
  <dc:creator/>
  <cp:keywords/>
  <dcterms:created xsi:type="dcterms:W3CDTF">2026-10-08T02:41:47Z</dcterms:created>
  <dcterms:modified xsi:type="dcterms:W3CDTF">2026-10-08T02:41:47Z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