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[I128-2506] Авторизация пользователей: учетные данные и SID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1dac060a095f98316dcfe5cde4e5fdfc37bf"/>
    <w:p>
      <w:pPr>
        <w:pStyle w:val="Heading1"/>
      </w:pPr>
      <w:r>
        <w:t xml:space="preserve">[I128-2506] Авторизация пользователей: учетные данные и SID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00:34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SID читательских/пользовательских записей, учетные данные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и права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 </w:t>
      </w:r>
      <w:r>
        <w:t xml:space="preserve">частично создаются прямой записью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SetFieldA()</w:t>
      </w:r>
      <w:r>
        <w:t xml:space="preserve"> </w:t>
      </w:r>
      <w:r>
        <w:t xml:space="preserve">и ручную установку подполей. Это обходит централизованный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Регистрация, вход и внешние способы авторизации переводятся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Security::MaterializeAuthField()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. Поведение для пользователя не меняется: регистрация, вход, ESIA/LDAP/VK/OUP/WebIrbis/I128-авторизация продолжают работать, но служебные поля создаются единообразно.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modules/Authorisation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, ручное создание и обновление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полей —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MaterializeAuthField()</w:t>
      </w:r>
      <w:r>
        <w:t xml:space="preserve">, а права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 </w:t>
      </w:r>
      <w:r>
        <w:t xml:space="preserve">— на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авторизации не меняются, исправляется внутренний способ записи SID, учетных данных и прав.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[I128-2506] Авторизация пользователей: учетные данные и SID создаются через Security</dc:title>
  <dc:creator/>
  <cp:keywords/>
  <dcterms:created xsi:type="dcterms:W3CDTF">2026-10-08T16:21:29Z</dcterms:created>
  <dcterms:modified xsi:type="dcterms:W3CDTF">2026-10-08T16:21:29Z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