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[I128-2140] Сводная БД мероприятий EVENTT в модуле Event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1bc98359966f7c229d9136c95e80d437444b5"/>
    <w:p>
      <w:pPr>
        <w:pStyle w:val="Heading1"/>
      </w:pPr>
      <w:r>
        <w:t xml:space="preserve">[I128-2140] Сводная БД мероприятий EVENTT в модуле Event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?id=Help/Show&amp;m=Event/Admin</w:t>
      </w:r>
      <w:r>
        <w:t xml:space="preserve"> </w:t>
      </w:r>
      <w:r>
        <w:t xml:space="preserve">- описание настройки БД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включая рабочую БД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типовое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и отличие от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?id=Help/Show&amp;m=Event/Root</w:t>
      </w:r>
      <w:r>
        <w:t xml:space="preserve"> </w:t>
      </w:r>
      <w:r>
        <w:t xml:space="preserve">- добавлена ссылка на раздел настройки БД мероприятий.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?id=Help/Show&amp;m=Event/Purpose</w:t>
      </w:r>
      <w:r>
        <w:t xml:space="preserve"> </w:t>
      </w:r>
      <w:r>
        <w:t xml:space="preserve">- добавлена ссылка из общего описания модуля на настройки БД мероприятий.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добавлено описание настройки отдельной БД мероприятий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Документация объясняет, что рабочая БД модуля берется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а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задает БД для поиска мероприятий по умолчанию. Отдельно указано, что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мероприятий, а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используется для обработки сводного каталога; при использовании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обе настройки нужно согласовать.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39"/>
    <w:p>
      <w:pPr>
        <w:pStyle w:val="Heading3"/>
      </w:pPr>
      <w:r>
        <w:t xml:space="preserve">1.1. 🔗 Соответствует задача: I128-2139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[I128-2139]</w:t>
        </w:r>
      </w:hyperlink>
      <w:r>
        <w:t xml:space="preserve"> </w:t>
      </w:r>
      <w:r>
        <w:t xml:space="preserve">Сводная БД мероприятий eventt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[I128-2140] Сводная БД мероприятий EVENTT в модуле Event</dc:title>
  <dc:creator/>
  <cp:keywords/>
  <dcterms:created xsi:type="dcterms:W3CDTF">2026-10-05T17:11:55Z</dcterms:created>
  <dcterms:modified xsi:type="dcterms:W3CDTF">2026-10-05T17:11:55Z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