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и проверка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настройка-и-проверка-модуля-ai"/>
    <w:p>
      <w:pPr>
        <w:pStyle w:val="Heading1"/>
      </w:pPr>
      <w:r>
        <w:t xml:space="preserve">Настройка и проверка модуля AI</w:t>
      </w:r>
    </w:p>
    <w:p>
      <w:pPr>
        <w:pStyle w:val="FirstParagraph"/>
      </w:pPr>
      <w:r>
        <w:t xml:space="preserve">Раздел предназначен для администратора, который впервые включает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проверяет его после переноса конфигурации. Настройку лучше выполнять от безопасного контура к рабочему: сначала проверить схему, provider/model routing и mock/local-запросы, затем включать продуктивное выполнение и сценарии с записью черновиков.</w:t>
      </w:r>
    </w:p>
    <w:bookmarkStart w:id="9" w:name="что-считается-готовой-настройкой"/>
    <w:p>
      <w:pPr>
        <w:pStyle w:val="Heading2"/>
      </w:pPr>
      <w:r>
        <w:t xml:space="preserve">1. Что считается готовой настройкой</w:t>
      </w:r>
    </w:p>
    <w:p>
      <w:pPr>
        <w:pStyle w:val="FirstParagraph"/>
      </w:pPr>
      <w:r>
        <w:t xml:space="preserve">Модуль можно передавать пользователям, когда выполнены все проверки: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заполнены основные выключатели, лимиты и политика данных.</w:t>
      </w:r>
    </w:p>
    <w:p>
      <w:pPr>
        <w:pStyle w:val="Compact"/>
        <w:numPr>
          <w:ilvl w:val="0"/>
          <w:numId w:val="1001"/>
        </w:numPr>
      </w:pPr>
      <w:r>
        <w:t xml:space="preserve">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созданы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есть включенный provider для выбранного контура.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есть включенная модель с нужными capabilities.</w:t>
      </w:r>
    </w:p>
    <w:p>
      <w:pPr>
        <w:pStyle w:val="Compact"/>
        <w:numPr>
          <w:ilvl w:val="0"/>
          <w:numId w:val="1001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проверка конфигурации не показывает критических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ResolveModel</w:t>
      </w:r>
      <w:r>
        <w:t xml:space="preserve"> </w:t>
      </w:r>
      <w:r>
        <w:t xml:space="preserve">выбирает ожидаемую модель, а остальные кандидаты имеют понятные причины отказа.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проходит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затем дает реальный ответ в разрешенном контуре.</w:t>
      </w:r>
    </w:p>
    <w:p>
      <w:pPr>
        <w:pStyle w:val="Compact"/>
        <w:numPr>
          <w:ilvl w:val="0"/>
          <w:numId w:val="1001"/>
        </w:numPr>
      </w:pPr>
      <w:r>
        <w:t xml:space="preserve">Сценарий, который создает AI-черновик, открывает интерфейс ручной проверки; для ИМИДЖ это окно текущей операции в АРМ Каталогизатор, для общей очереди -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появляются audit-события без раскрытия секретов.</w:t>
      </w:r>
    </w:p>
    <w:bookmarkEnd w:id="9"/>
    <w:bookmarkStart w:id="10" w:name="предварительные-условия"/>
    <w:p>
      <w:pPr>
        <w:pStyle w:val="Heading2"/>
      </w:pPr>
      <w:r>
        <w:t xml:space="preserve">2. Предварительные условия</w:t>
      </w:r>
    </w:p>
    <w:p>
      <w:pPr>
        <w:pStyle w:val="FirstParagraph"/>
      </w:pPr>
      <w:r>
        <w:t xml:space="preserve">Настройку выполняет пользователь с административным доступом к АРМ Администратор и правом просмотра страниц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проверки пользовательских сценариев дополнительно нужны права на исходные БД, FT-записи, IMAGE-записи и целевую БД, с которыми работает сценарий.</w:t>
      </w:r>
    </w:p>
    <w:p>
      <w:pPr>
        <w:pStyle w:val="BodyText"/>
      </w:pPr>
      <w:r>
        <w:t xml:space="preserve">Если проверяется локальная модель, локальный runtime должен быть запущен отдельно от ИРБИС 128. Для OpenAI-compatible runtime должен быть известен endpoint вида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 </w:t>
      </w:r>
      <w:r>
        <w:t xml:space="preserve">или аналогичный адрес в защищенной локальной сети.</w:t>
      </w:r>
    </w:p>
    <w:bookmarkEnd w:id="10"/>
    <w:bookmarkStart w:id="11" w:name="шаг-1.-открыть-настройки-ai"/>
    <w:p>
      <w:pPr>
        <w:pStyle w:val="Heading2"/>
      </w:pPr>
      <w:r>
        <w:t xml:space="preserve">3. Шаг 1. Открыть настройки AI</w:t>
      </w:r>
    </w:p>
    <w:p>
      <w:pPr>
        <w:pStyle w:val="Compact"/>
        <w:numPr>
          <w:ilvl w:val="0"/>
          <w:numId w:val="1002"/>
        </w:numPr>
      </w:pPr>
      <w:r>
        <w:t xml:space="preserve">Откройте АРМ Администратор.</w:t>
      </w:r>
    </w:p>
    <w:p>
      <w:pPr>
        <w:pStyle w:val="Compact"/>
        <w:numPr>
          <w:ilvl w:val="0"/>
          <w:numId w:val="1002"/>
        </w:numPr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Проверьте, что в группе</w:t>
      </w:r>
      <w:r>
        <w:t xml:space="preserve"> </w:t>
      </w:r>
      <w:r>
        <w:t xml:space="preserve">“Поставщики, модели, prompt-шаблоны, инструменты и секреты AI”</w:t>
      </w:r>
      <w:r>
        <w:t xml:space="preserve"> </w:t>
      </w:r>
      <w:r>
        <w:t xml:space="preserve">доступны кнопки управления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кнопок нет или модуль только установлен, выполните штатную настройку модуля, чтобы отработал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AI/SetupModuleConfigure</w:t>
      </w:r>
      <w:r>
        <w:t xml:space="preserve"> </w:t>
      </w:r>
      <w:r>
        <w:t xml:space="preserve">безопасно повторяет базовую настройку: создает связанные модули, переносит provider/model из совместимого JSON-профиля в записи и вызывает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bookmarkEnd w:id="11"/>
    <w:bookmarkStart w:id="12" w:name="шаг-2.-проверить-общие-выключатели"/>
    <w:p>
      <w:pPr>
        <w:pStyle w:val="Heading2"/>
      </w:pPr>
      <w:r>
        <w:t xml:space="preserve">4. Шаг 2. Проверить общие выключатели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“Общие настройки AI”</w:t>
      </w:r>
      <w:r>
        <w:t xml:space="preserve"> </w:t>
      </w:r>
      <w:r>
        <w:t xml:space="preserve">задайте базовый режим: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используется</w:t>
            </w:r>
          </w:p>
        </w:tc>
        <w:tc>
          <w:tcPr/>
          <w:p>
            <w:pPr>
              <w:pStyle w:val="Compact"/>
            </w:pPr>
            <w:r>
              <w:t xml:space="preserve">Безопасное начало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AIEnabled</w:t>
            </w:r>
          </w:p>
        </w:tc>
        <w:tc>
          <w:tcPr/>
          <w:p>
            <w:pPr>
              <w:pStyle w:val="Compact"/>
            </w:pPr>
            <w:r>
              <w:t xml:space="preserve">Разрешает продуктивные runtime-запросы</w:t>
            </w:r>
          </w:p>
        </w:tc>
        <w:tc>
          <w:tcPr/>
          <w:p>
            <w:pPr>
              <w:pStyle w:val="Compact"/>
            </w:pPr>
            <w:r>
              <w:t xml:space="preserve">Выключено для первичной диагностики, включено перед пользовательским запуском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ExternalModelsEnabled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внешние provider/model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WriteToolsEnabled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инструменты, которые готовят изменения данных</w:t>
            </w:r>
          </w:p>
        </w:tc>
        <w:tc>
          <w:tcPr/>
          <w:p>
            <w:pPr>
              <w:pStyle w:val="Compact"/>
            </w:pPr>
            <w:r>
              <w:t xml:space="preserve">Выключено до проверки review-сценария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TechnicalUserLogin</w:t>
            </w:r>
          </w:p>
        </w:tc>
        <w:tc>
          <w:tcPr/>
          <w:p>
            <w:pPr>
              <w:pStyle w:val="Compact"/>
            </w:pPr>
            <w:r>
              <w:t xml:space="preserve">Технический пользователь фоновых AI-задач</w:t>
            </w:r>
          </w:p>
        </w:tc>
        <w:tc>
          <w:tcPr/>
          <w:p>
            <w:pPr>
              <w:pStyle w:val="Compact"/>
            </w:pPr>
            <w:r>
              <w:t xml:space="preserve">Существующий пользователь с минимальными правами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“Аварийные выключатели AI”</w:t>
      </w:r>
      <w:r>
        <w:t xml:space="preserve"> </w:t>
      </w:r>
      <w:r>
        <w:t xml:space="preserve">оставьте включенными только нужные контуры. Для локального текстового запроса нужен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. Для агентных сценариев нужен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. Для сценариев с FT/RAG нужны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 </w:t>
      </w:r>
      <w:r>
        <w:t xml:space="preserve">и, если требуется подготовка текста,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</w:t>
      </w:r>
    </w:p>
    <w:bookmarkEnd w:id="12"/>
    <w:bookmarkStart w:id="13" w:name="Xc4462d01b93717663bf6bb3140ec1866f518506"/>
    <w:p>
      <w:pPr>
        <w:pStyle w:val="Heading2"/>
      </w:pPr>
      <w:r>
        <w:t xml:space="preserve">5. Шаг 3. Проверить лимиты и политику данных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“Лимиты выполнения AI”</w:t>
      </w:r>
      <w:r>
        <w:t xml:space="preserve"> </w:t>
      </w:r>
      <w:r>
        <w:t xml:space="preserve">оставьте значения по умолчанию или задайте ограничения для установки. Для первой проверки важно, чтобы</w:t>
      </w:r>
      <w:r>
        <w:t xml:space="preserve"> </w:t>
      </w:r>
      <w:r>
        <w:rPr>
          <w:rStyle w:val="VerbatimChar"/>
        </w:rPr>
        <w:t xml:space="preserve">MaxPromptChars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MaxTokens</w:t>
      </w:r>
      <w:r>
        <w:t xml:space="preserve"> </w:t>
      </w:r>
      <w:r>
        <w:t xml:space="preserve">не блокировали тестовый короткий запрос.</w:t>
      </w:r>
    </w:p>
    <w:p>
      <w:pPr>
        <w:pStyle w:val="BodyText"/>
      </w:pP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 </w:t>
      </w:r>
      <w:r>
        <w:t xml:space="preserve">для закрытого контура обычно оставляют: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DefaultDataClass</w:t>
      </w:r>
      <w:r>
        <w:t xml:space="preserve">: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AllowExternalClasses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DenyExternalClasses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secret, forbidden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RequireExplicitExternalApproval</w:t>
      </w:r>
      <w:r>
        <w:t xml:space="preserve">: включено.</w:t>
      </w:r>
    </w:p>
    <w:p>
      <w:pPr>
        <w:pStyle w:val="FirstParagraph"/>
      </w:pPr>
      <w:r>
        <w:t xml:space="preserve">Если внешние модели не используются,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 </w:t>
      </w:r>
      <w:r>
        <w:t xml:space="preserve">должен быть выключен. Это не мешает локальным offline-моделям.</w:t>
      </w:r>
    </w:p>
    <w:bookmarkEnd w:id="13"/>
    <w:bookmarkStart w:id="14" w:name="шаг-4.-настроить-provider"/>
    <w:p>
      <w:pPr>
        <w:pStyle w:val="Heading2"/>
      </w:pPr>
      <w:r>
        <w:t xml:space="preserve">6. Шаг 4. Настроить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Стабильный идентификатор,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mock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local-openai-compatible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mock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ProviderEnabled</w:t>
            </w:r>
          </w:p>
        </w:tc>
        <w:tc>
          <w:tcPr/>
          <w:p>
            <w:pPr>
              <w:pStyle w:val="Compact"/>
            </w:pPr>
            <w:r>
              <w:t xml:space="preserve">Включено для рабочего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runtime для OpenAI-compatible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Включено, если provider не требует внешнего облака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, уровень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локальной проверки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AI/Ask</w:t>
            </w:r>
            <w:r>
              <w:t xml:space="preserve"> </w:t>
            </w:r>
            <w:r>
              <w:t xml:space="preserve">и агентных сценариев</w:t>
            </w:r>
          </w:p>
        </w:tc>
      </w:tr>
    </w:tbl>
    <w:p>
      <w:pPr>
        <w:pStyle w:val="BodyText"/>
      </w:pPr>
      <w:r>
        <w:t xml:space="preserve">Для локального runtime дополнительно заполните требования CPU/GPU/RAM/VRAM/диска. Эти поля не запускают модель сами, но позволяют диагностике сравнить профиль с окружением.</w:t>
      </w:r>
    </w:p>
    <w:bookmarkEnd w:id="14"/>
    <w:bookmarkStart w:id="15" w:name="шаг-5.-настроить-модель"/>
    <w:p>
      <w:pPr>
        <w:pStyle w:val="Heading2"/>
      </w:pPr>
      <w:r>
        <w:t xml:space="preserve">7. Шаг 5. Настроить модель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описывает одну модель у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Тот же идентификатор, что в</w:t>
            </w:r>
            <w:r>
              <w:t xml:space="preserve"> </w:t>
            </w:r>
            <w:r>
              <w:rPr>
                <w:rStyle w:val="VerbatimChar"/>
              </w:rPr>
              <w:t xml:space="preserve">AIPROVIDER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ModelId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ModelEnabled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 для offline-сценария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MaxContext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; остальные только если реально поддерживаются</w:t>
            </w:r>
          </w:p>
        </w:tc>
      </w:tr>
    </w:tbl>
    <w:p>
      <w:pPr>
        <w:pStyle w:val="BodyText"/>
      </w:pPr>
      <w:r>
        <w:t xml:space="preserve">Если provider не имеет отдельных записей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маршрутизатор создаст техническую модель с ID provider. Для продуктивной настройки лучше завести явные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чтобы диагностика показывала реальный ID модели.</w:t>
      </w:r>
    </w:p>
    <w:bookmarkEnd w:id="15"/>
    <w:bookmarkStart w:id="16" w:name="шаг-6.-инициализировать-хранилища"/>
    <w:p>
      <w:pPr>
        <w:pStyle w:val="Heading2"/>
      </w:pPr>
      <w:r>
        <w:t xml:space="preserve">8. Шаг 6. Инициализировать хранилища</w:t>
      </w:r>
    </w:p>
    <w:p>
      <w:pPr>
        <w:pStyle w:val="FirstParagraph"/>
      </w:pPr>
      <w:r>
        <w:t xml:space="preserve">После изменения структуры или переноса конфигурации выполните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Операция повторяемая и безопасная: она создает или обновляет SID SQLite-хранилища модуля и записывает версию схемы в запись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BodyText"/>
      </w:pPr>
      <w:r>
        <w:t xml:space="preserve">Если настройка выполнялась через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уже вызывается автоматически. После этого 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проверьте блоки</w:t>
      </w:r>
      <w:r>
        <w:t xml:space="preserve"> </w:t>
      </w:r>
      <w:r>
        <w:t xml:space="preserve">“Статус”</w:t>
      </w:r>
      <w:r>
        <w:t xml:space="preserve"> </w:t>
      </w:r>
      <w:r>
        <w:t xml:space="preserve">и</w:t>
      </w:r>
      <w:r>
        <w:t xml:space="preserve"> </w:t>
      </w:r>
      <w:r>
        <w:t xml:space="preserve">“Проверка конфигурации”</w:t>
      </w:r>
      <w:r>
        <w:t xml:space="preserve">.</w:t>
      </w:r>
    </w:p>
    <w:bookmarkEnd w:id="16"/>
    <w:bookmarkStart w:id="17" w:name="Xb79882fdb92f7f3c5b3c5095339926a2e43bb1f"/>
    <w:p>
      <w:pPr>
        <w:pStyle w:val="Heading2"/>
      </w:pPr>
      <w:r>
        <w:t xml:space="preserve">9. Шаг 7. Проверить provider и маршрутизацию</w:t>
      </w:r>
    </w:p>
    <w:p>
      <w:pPr>
        <w:pStyle w:val="FirstParagraph"/>
      </w:pPr>
      <w:r>
        <w:t xml:space="preserve">Откройте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“Поставщики и маршрутизация моделей”</w:t>
      </w:r>
      <w:r>
        <w:t xml:space="preserve"> </w:t>
      </w:r>
      <w:r>
        <w:t xml:space="preserve">выберите provider.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t xml:space="preserve">“Проверить”</w:t>
      </w:r>
      <w:r>
        <w:t xml:space="preserve">. Эта проверка не выполняет сетевой вызов и безопасна для первичной диагностики.</w:t>
      </w:r>
    </w:p>
    <w:p>
      <w:pPr>
        <w:pStyle w:val="Compact"/>
        <w:numPr>
          <w:ilvl w:val="0"/>
          <w:numId w:val="1004"/>
        </w:numPr>
      </w:pPr>
      <w:r>
        <w:t xml:space="preserve">Проверьте замаскированный список provider-профилей.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“Выбор модели и fallback”</w:t>
      </w:r>
      <w:r>
        <w:t xml:space="preserve"> </w:t>
      </w: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.</w:t>
      </w:r>
    </w:p>
    <w:p>
      <w:pPr>
        <w:pStyle w:val="FirstParagraph"/>
      </w:pPr>
      <w:r>
        <w:t xml:space="preserve">Базовый запрос для локальной проверки: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"local_first"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Запрос для проверки конкретной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"llama3.1:8b"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В успешном ответе</w:t>
      </w:r>
      <w:r>
        <w:t xml:space="preserve"> </w:t>
      </w:r>
      <w:r>
        <w:rPr>
          <w:rStyle w:val="VerbatimChar"/>
        </w:rPr>
        <w:t xml:space="preserve">selection.providerId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selection.modelId</w:t>
      </w:r>
      <w:r>
        <w:t xml:space="preserve"> </w:t>
      </w:r>
      <w:r>
        <w:t xml:space="preserve">должны указывать на ожидаемые provider и модель.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для отклоненных кандидатов должны быть понятные причины: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localModelsDisabled</w:t>
      </w:r>
      <w:r>
        <w:t xml:space="preserve"> </w:t>
      </w:r>
      <w:r>
        <w:t xml:space="preserve">и другие.</w:t>
      </w:r>
    </w:p>
    <w:bookmarkEnd w:id="17"/>
    <w:bookmarkStart w:id="18" w:name="шаг-8.-проверить-текстовый-запрос"/>
    <w:p>
      <w:pPr>
        <w:pStyle w:val="Heading2"/>
      </w:pPr>
      <w:r>
        <w:t xml:space="preserve">10. Шаг 8. Проверить текстовый запрос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BodyText"/>
      </w:pPr>
      <w:r>
        <w:t xml:space="preserve">Сначала выполните безопасный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введите короткий prompt.</w:t>
      </w:r>
    </w:p>
    <w:p>
      <w:pPr>
        <w:pStyle w:val="Compact"/>
        <w:numPr>
          <w:ilvl w:val="0"/>
          <w:numId w:val="1005"/>
        </w:numPr>
      </w:pPr>
      <w:r>
        <w:t xml:space="preserve">Отправьте запрос.</w:t>
      </w:r>
    </w:p>
    <w:p>
      <w:pPr>
        <w:pStyle w:val="FirstParagraph"/>
      </w:pPr>
      <w:r>
        <w:t xml:space="preserve">В результате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проверьте, что маршрут найден и выбрана ожидаемая модель. Если нужен полный JSON с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и причинами блокировок политики, временно включите настройку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“Страница AI/Ask”</w:t>
      </w:r>
      <w:r>
        <w:t xml:space="preserve">. Модель при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не вызывается.</w:t>
      </w:r>
    </w:p>
    <w:p>
      <w:pPr>
        <w:pStyle w:val="BodyText"/>
      </w:pPr>
      <w:r>
        <w:t xml:space="preserve">Затем выполните реальный локальный вызов: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“Диагностический режим по умолчанию”</w:t>
      </w:r>
      <w:r>
        <w:t xml:space="preserve"> </w:t>
      </w:r>
      <w:r>
        <w:t xml:space="preserve">включенным, если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еще выключен.</w:t>
      </w:r>
    </w:p>
    <w:p>
      <w:pPr>
        <w:pStyle w:val="Compact"/>
        <w:numPr>
          <w:ilvl w:val="0"/>
          <w:numId w:val="1006"/>
        </w:numPr>
      </w:pPr>
      <w:r>
        <w:t xml:space="preserve">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OpenAI-compatible local runtime 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возвращается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сетевой вызов не был явно разрешен. Если возвращается</w:t>
      </w:r>
      <w:r>
        <w:t xml:space="preserve"> </w:t>
      </w:r>
      <w:r>
        <w:rPr>
          <w:rStyle w:val="VerbatimChar"/>
        </w:rPr>
        <w:t xml:space="preserve">AI_MODEL_NOT_AVAILABLE</w:t>
      </w:r>
      <w:r>
        <w:t xml:space="preserve">, проверьте включение provider/model, capabilities и аварийные выключатели.</w:t>
      </w:r>
    </w:p>
    <w:bookmarkEnd w:id="18"/>
    <w:bookmarkStart w:id="19" w:name="Xf230a175971a2f506935b6d761ecf0878ebaa76"/>
    <w:p>
      <w:pPr>
        <w:pStyle w:val="Heading2"/>
      </w:pPr>
      <w:r>
        <w:t xml:space="preserve">11. Шаг 9. Проверить пользовательский сценарий</w:t>
      </w:r>
    </w:p>
    <w:p>
      <w:pPr>
        <w:pStyle w:val="FirstParagraph"/>
      </w:pPr>
      <w:r>
        <w:t xml:space="preserve">Для сценария дополнения ИМИДЖ-записи библиографическими полями откройте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 </w:t>
      </w:r>
      <w:r>
        <w:t xml:space="preserve">в АРМ Каталогизатор.</w:t>
      </w:r>
    </w:p>
    <w:p>
      <w:pPr>
        <w:pStyle w:val="Compact"/>
        <w:numPr>
          <w:ilvl w:val="0"/>
          <w:numId w:val="1007"/>
        </w:numPr>
      </w:pPr>
      <w:r>
        <w:t xml:space="preserve">Выберите исходную запись.</w:t>
      </w:r>
    </w:p>
    <w:p>
      <w:pPr>
        <w:pStyle w:val="Compact"/>
        <w:numPr>
          <w:ilvl w:val="0"/>
          <w:numId w:val="1007"/>
        </w:numPr>
      </w:pPr>
      <w:r>
        <w:t xml:space="preserve">Нажмите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панели действий списка.</w:t>
      </w:r>
    </w:p>
    <w:p>
      <w:pPr>
        <w:pStyle w:val="Compact"/>
        <w:numPr>
          <w:ilvl w:val="0"/>
          <w:numId w:val="1007"/>
        </w:numPr>
      </w:pPr>
      <w:r>
        <w:t xml:space="preserve">Убедитесь, что открылось ExtJS-окно текущей операции для той же БД и того же MFN.</w:t>
      </w:r>
    </w:p>
    <w:p>
      <w:pPr>
        <w:pStyle w:val="Compact"/>
        <w:numPr>
          <w:ilvl w:val="0"/>
          <w:numId w:val="1007"/>
        </w:numPr>
      </w:pPr>
      <w:r>
        <w:t xml:space="preserve">Сверьте изображения карточки, распознанный текст и предлагаемые поля.</w:t>
      </w:r>
    </w:p>
    <w:p>
      <w:pPr>
        <w:pStyle w:val="FirstParagraph"/>
      </w:pPr>
      <w:r>
        <w:t xml:space="preserve">Создание и пересоздание черновика выполняются через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поэтому должен быть включен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 </w:t>
      </w:r>
      <w:r>
        <w:t xml:space="preserve">и запущен диспетчер очереди. Кнопка сразу открывает монитор с текущим этапом AI-анализа; готовое review-окно появляется после завершения задачи. Pipeline v7 сначала согласует несколько OCR-кандидатов моделью, но сервер проверяет ссылки на исходные строки и запрещает неподтвержденные изменения чисел. Исходный и реконструированный тексты показываются отдельно,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при создании черновика не меняется.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в окне сначала фиксирует решение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 затем применяет черновик после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target, версии исходной записи и idempotency key.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закрывает review без записи в БД.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новую задачу;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доступна при установленных модулях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после подтверждения</w:t>
      </w:r>
      <w:r>
        <w:t xml:space="preserve"> </w:t>
      </w:r>
      <w:r>
        <w:rPr>
          <w:rStyle w:val="VerbatimChar"/>
        </w:rPr>
        <w:t xml:space="preserve">AI/RecognizeImageCatalog</w:t>
      </w:r>
      <w:r>
        <w:t xml:space="preserve"> </w:t>
      </w:r>
      <w:r>
        <w:t xml:space="preserve">ставит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в очередь, а монитор задачи по завершении запускает очередное создание черновика. OCR v2 сравнивает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с многопроходным Tesseract и заменяет все повторения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FieldDeleteAllOcc</w:t>
      </w:r>
      <w:r>
        <w:t xml:space="preserve"> </w:t>
      </w:r>
      <w:r>
        <w:t xml:space="preserve">только при улучшении quality score; перед постановкой и перед сохранением проверяется версия записи. Для полноценной геометрии Tesseract должен создавать непустой TSV; отсутствие TSV делает проход невалидным.</w:t>
      </w:r>
    </w:p>
    <w:bookmarkEnd w:id="19"/>
    <w:bookmarkStart w:id="20" w:name="шаг-10.-проверить-review"/>
    <w:p>
      <w:pPr>
        <w:pStyle w:val="Heading2"/>
      </w:pPr>
      <w:r>
        <w:t xml:space="preserve">12. Шаг 10. Проверить review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запускал стартовый сценарий. Review-задачи и AI-черновики привязаны к пользователю, поэтому другой пользователь может не увидеть задачу в своей очереди.</w:t>
      </w:r>
    </w:p>
    <w:p>
      <w:pPr>
        <w:pStyle w:val="BodyText"/>
      </w:pPr>
      <w:r>
        <w:t xml:space="preserve">На странице проверки:</w:t>
      </w:r>
    </w:p>
    <w:p>
      <w:pPr>
        <w:pStyle w:val="Compact"/>
        <w:numPr>
          <w:ilvl w:val="0"/>
          <w:numId w:val="1008"/>
        </w:numPr>
      </w:pPr>
      <w:r>
        <w:t xml:space="preserve">Откройте задачу со статусом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Проверьте цель, риск, источники, diff, данные черновика и результат поиска дублей.</w:t>
      </w:r>
    </w:p>
    <w:p>
      <w:pPr>
        <w:pStyle w:val="Compact"/>
        <w:numPr>
          <w:ilvl w:val="0"/>
          <w:numId w:val="1008"/>
        </w:numPr>
      </w:pPr>
      <w:r>
        <w:t xml:space="preserve">Выберите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correct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Для approved review сначала выполните применение в режиме</w:t>
      </w:r>
      <w:r>
        <w:t xml:space="preserve"> </w:t>
      </w:r>
      <w:r>
        <w:t xml:space="preserve">“Проверить без записи в БД”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Фактическую запись разрешайте только после успешного dry-run и проверки прав.</w:t>
      </w:r>
    </w:p>
    <w:bookmarkEnd w:id="20"/>
    <w:bookmarkStart w:id="21" w:name="Xfefcb640cebf3e1c94695051d0e602deef55915"/>
    <w:p>
      <w:pPr>
        <w:pStyle w:val="Heading2"/>
      </w:pPr>
      <w:r>
        <w:t xml:space="preserve">13. Шаг 11. Проверить audit и внешние передачи</w:t>
      </w:r>
    </w:p>
    <w:p>
      <w:pPr>
        <w:pStyle w:val="FirstParagraph"/>
      </w:pPr>
      <w:r>
        <w:t xml:space="preserve">Вернитесь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“Последние события аудита”</w:t>
      </w:r>
      <w:r>
        <w:t xml:space="preserve"> </w:t>
      </w:r>
      <w:r>
        <w:t xml:space="preserve">проверьте события маршрутизации, tool pipeline, draft/review и maintenance-операций.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“Отчет о внешней передаче данных”</w:t>
      </w:r>
      <w:r>
        <w:t xml:space="preserve"> </w:t>
      </w:r>
      <w:r>
        <w:t xml:space="preserve">убедитесь, что закрытый локальный сценарий не создал внешних передач.</w:t>
      </w:r>
    </w:p>
    <w:p>
      <w:pPr>
        <w:pStyle w:val="Compact"/>
        <w:numPr>
          <w:ilvl w:val="0"/>
          <w:numId w:val="1009"/>
        </w:numPr>
      </w:pPr>
      <w:r>
        <w:t xml:space="preserve">Проверьте, что секреты в JSON и audit отображаются только маской.</w:t>
      </w:r>
    </w:p>
    <w:bookmarkEnd w:id="21"/>
    <w:bookmarkStart w:id="22" w:name="частые-проблемы"/>
    <w:p>
      <w:pPr>
        <w:pStyle w:val="Heading2"/>
      </w:pPr>
      <w:r>
        <w:t xml:space="preserve">14. Частые проблемы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Симптом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нет нужной capability, выключен</w:t>
            </w:r>
            <w:r>
              <w:t xml:space="preserve"> </w:t>
            </w:r>
            <w:r>
              <w:rPr>
                <w:rStyle w:val="VerbatimChar"/>
              </w:rPr>
              <w:t xml:space="preserve">LocalModelsEnabled</w:t>
            </w:r>
            <w:r>
              <w:t xml:space="preserve">, задан слишком строгий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modelId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externalDenied</w:t>
            </w:r>
          </w:p>
        </w:tc>
        <w:tc>
          <w:tcPr/>
          <w:p>
            <w:pPr>
              <w:pStyle w:val="Compact"/>
            </w:pPr>
            <w:r>
              <w:t xml:space="preserve">Запрос пытается выбрать внешнюю модель без разрешения внешнего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missingCapability:json</w:t>
            </w:r>
          </w:p>
        </w:tc>
        <w:tc>
          <w:tcPr/>
          <w:p>
            <w:pPr>
              <w:pStyle w:val="Compact"/>
            </w:pPr>
            <w:r>
              <w:t xml:space="preserve">У модели не включена capability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AI_EXTERNAL_DATA_POLICY_DENIED</w:t>
            </w:r>
          </w:p>
        </w:tc>
        <w:tc>
          <w:tcPr/>
          <w:p>
            <w:pPr>
              <w:pStyle w:val="Compact"/>
            </w:pPr>
            <w:r>
              <w:t xml:space="preserve">Класс данных не разрешен для внешней модели или нет явного подтверждения внешней передачи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</w:t>
            </w:r>
            <w:r>
              <w:t xml:space="preserve"> </w:t>
            </w:r>
            <w:r>
              <w:rPr>
                <w:rStyle w:val="VerbatimChar"/>
              </w:rPr>
              <w:t xml:space="preserve">AI/Reviews</w:t>
            </w:r>
            <w:r>
              <w:t xml:space="preserve"> </w:t>
            </w:r>
            <w:r>
              <w:t xml:space="preserve">пустая очередь</w:t>
            </w:r>
          </w:p>
        </w:tc>
        <w:tc>
          <w:tcPr/>
          <w:p>
            <w:pPr>
              <w:pStyle w:val="Compact"/>
            </w:pPr>
            <w:r>
              <w:t xml:space="preserve">Задачу создал другой пользователь, сценарий не создал review или задача уже имеет другой статус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ИМИДЖ-запись не изменилась после создания черновика</w:t>
            </w:r>
          </w:p>
        </w:tc>
        <w:tc>
          <w:tcPr/>
          <w:p>
            <w:pPr>
              <w:pStyle w:val="Compact"/>
            </w:pPr>
            <w:r>
              <w:t xml:space="preserve">Это нормально до подтверждения; в окне операции нажмите</w:t>
            </w:r>
            <w:r>
              <w:t xml:space="preserve"> </w:t>
            </w:r>
            <w:r>
              <w:t xml:space="preserve">“Утвердить и записать”</w:t>
            </w:r>
          </w:p>
        </w:tc>
      </w:tr>
    </w:tbl>
    <w:bookmarkEnd w:id="22"/>
    <w:bookmarkStart w:id="23" w:name="связанные-разделы"/>
    <w:p>
      <w:pPr>
        <w:pStyle w:val="Heading2"/>
      </w:pPr>
      <w:r>
        <w:t xml:space="preserve">15. Связанные разделы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?id=Help/Show&amp;m=AI/Help/LocalModelSetup/index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?id=Help/Show&amp;m=AI/Help/Pages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?id=Help/Show&amp;m=AI/Help/UserGuide/index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и проверка модуля AI</dc:title>
  <dc:creator/>
  <cp:keywords/>
  <dcterms:created xsi:type="dcterms:W3CDTF">2026-10-06T02:41:20Z</dcterms:created>
  <dcterms:modified xsi:type="dcterms:W3CDTF">2026-10-06T02:41:20Z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