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Настройки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и-поля"/>
    <w:p>
      <w:pPr>
        <w:pStyle w:val="Heading1"/>
      </w:pPr>
      <w:r>
        <w:t xml:space="preserve">Настройки поля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хранит общий реестр описаний полей ИРБИС 128. Модуль задает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тип данных, физическую привязку хранения, правила ввода, отображение, поиск, экспорт, API-имена и ссылки на права.</w:t>
      </w:r>
    </w:p>
    <w:p>
      <w:pPr>
        <w:pStyle w:val="BodyText"/>
      </w:pPr>
      <w:r>
        <w:t xml:space="preserve">Модуль не исполняет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 других потребителей. Он предоставляет единый источник метаданных поля, на который эти модули могут ссылаться.</w:t>
      </w:r>
    </w:p>
    <w:bookmarkStart w:id="12" w:name="назначение-модуля-fieldconfiguration"/>
    <w:p>
      <w:pPr>
        <w:pStyle w:val="Heading2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3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bookmarkStart w:id="18" w:name="Xb4629802350124cd2ef741373e8fd06c799d1fd"/>
    <w:p>
      <w:pPr>
        <w:pStyle w:val="Heading2"/>
      </w:pPr>
      <w:r>
        <w:t xml:space="preserve">Руководство администратора FieldConfiguration</w:t>
      </w:r>
    </w:p>
    <w:bookmarkStart w:id="13" w:name="запись-поля"/>
    <w:p>
      <w:pPr>
        <w:pStyle w:val="Heading3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13"/>
    <w:bookmarkStart w:id="14" w:name="профили"/>
    <w:p>
      <w:pPr>
        <w:pStyle w:val="Heading3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4"/>
    <w:bookmarkStart w:id="15" w:name="наборы-полей"/>
    <w:p>
      <w:pPr>
        <w:pStyle w:val="Heading3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5"/>
    <w:bookmarkStart w:id="16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6"/>
    <w:bookmarkStart w:id="17" w:name="системные-записи"/>
    <w:p>
      <w:pPr>
        <w:pStyle w:val="Heading3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7"/>
    <w:bookmarkEnd w:id="18"/>
    <w:bookmarkStart w:id="22" w:name="X50e859191e1795199d1594a3cad120fc4266973"/>
    <w:p>
      <w:pPr>
        <w:pStyle w:val="Heading2"/>
      </w:pPr>
      <w:r>
        <w:t xml:space="preserve">Руководство программиста FieldConfiguration</w:t>
      </w:r>
    </w:p>
    <w:bookmarkStart w:id="19" w:name="основной-контракт"/>
    <w:p>
      <w:pPr>
        <w:pStyle w:val="Heading3"/>
      </w:pPr>
      <w:r>
        <w:t xml:space="preserve">1. Основной контракт</w:t>
      </w:r>
    </w:p>
    <w:p>
      <w:pPr>
        <w:pStyle w:val="FirstParagraph"/>
      </w:pPr>
      <w:r>
        <w:t xml:space="preserve">Публичные операции модуля реализованы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содержит системный класс модуля, record-backed DTO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-описания.</w:t>
      </w:r>
    </w:p>
    <w:p>
      <w:pPr>
        <w:pStyle w:val="BodyText"/>
      </w:pPr>
      <w:r>
        <w:rPr>
          <w:rStyle w:val="VerbatimChar"/>
        </w:rPr>
        <w:t xml:space="preserve">ObjectData</w:t>
      </w:r>
      <w:r>
        <w:t xml:space="preserve">-объекты используют стандартный маршрут вызова: отсутствующий метод объекта передается в управляющий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 а затем в соответствующий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.</w:t>
      </w:r>
    </w:p>
    <w:bookmarkEnd w:id="19"/>
    <w:bookmarkStart w:id="20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NormalizeFieldDefinition(array $definition)</w:t>
      </w:r>
      <w:r>
        <w:t xml:space="preserve"> </w:t>
      </w:r>
      <w:r>
        <w:t xml:space="preserve">приводит JSON/array описание поля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NormalizeFieldPack(array $pack)</w:t>
      </w:r>
      <w:r>
        <w:t xml:space="preserve"> </w:t>
      </w:r>
      <w:r>
        <w:t xml:space="preserve">приводит описание набора полей к единому контракту.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ResolveFieldDefinition(array $definitions, array $context)</w:t>
      </w:r>
      <w:r>
        <w:t xml:space="preserve"> </w:t>
      </w:r>
      <w:r>
        <w:t xml:space="preserve">выбирает лучшее описание поля для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owner module, record type, scope и project.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BuildWhereUsedReport(array $definitions, array $consumers)</w:t>
      </w:r>
      <w:r>
        <w:t xml:space="preserve"> </w:t>
      </w:r>
      <w:r>
        <w:t xml:space="preserve">строит безопасную диагностику явных потребителей.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GetSystemDefinitions()</w:t>
      </w:r>
      <w:r>
        <w:t xml:space="preserve"> </w:t>
      </w:r>
      <w:r>
        <w:t xml:space="preserve">читает системный JSON без записи в БД.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HealthCheckDefinition()</w:t>
      </w:r>
      <w:r>
        <w:t xml:space="preserve"> </w:t>
      </w:r>
      <w:r>
        <w:t xml:space="preserve">возвращает описание проверок для будущего HealthCheck provider.</w:t>
      </w:r>
    </w:p>
    <w:bookmarkEnd w:id="20"/>
    <w:bookmarkStart w:id="21" w:name="не-входит-в-модуль"/>
    <w:p>
      <w:pPr>
        <w:pStyle w:val="Heading3"/>
      </w:pPr>
      <w:r>
        <w:t xml:space="preserve">3. Не входит в модуль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 должен:</w:t>
      </w:r>
    </w:p>
    <w:p>
      <w:pPr>
        <w:pStyle w:val="Compact"/>
        <w:numPr>
          <w:ilvl w:val="0"/>
          <w:numId w:val="1004"/>
        </w:numPr>
      </w:pPr>
      <w:r>
        <w:t xml:space="preserve">проверять права пользователя;</w:t>
      </w:r>
    </w:p>
    <w:p>
      <w:pPr>
        <w:pStyle w:val="Compact"/>
        <w:numPr>
          <w:ilvl w:val="0"/>
          <w:numId w:val="1004"/>
        </w:numPr>
      </w:pPr>
      <w:r>
        <w:t xml:space="preserve">выполнять переходы Workflow;</w:t>
      </w:r>
    </w:p>
    <w:p>
      <w:pPr>
        <w:pStyle w:val="Compact"/>
        <w:numPr>
          <w:ilvl w:val="0"/>
          <w:numId w:val="1004"/>
        </w:numPr>
      </w:pPr>
      <w:r>
        <w:t xml:space="preserve">строить страницы списков и карточек;</w:t>
      </w:r>
    </w:p>
    <w:p>
      <w:pPr>
        <w:pStyle w:val="Compact"/>
        <w:numPr>
          <w:ilvl w:val="0"/>
          <w:numId w:val="1004"/>
        </w:numPr>
      </w:pPr>
      <w:r>
        <w:t xml:space="preserve">применять доменную валидацию Tasks;</w:t>
      </w:r>
    </w:p>
    <w:p>
      <w:pPr>
        <w:pStyle w:val="Compact"/>
        <w:numPr>
          <w:ilvl w:val="0"/>
          <w:numId w:val="1004"/>
        </w:numPr>
      </w:pPr>
      <w:r>
        <w:t xml:space="preserve">выполнять FieldHistory diff;</w:t>
      </w:r>
    </w:p>
    <w:p>
      <w:pPr>
        <w:pStyle w:val="Compact"/>
        <w:numPr>
          <w:ilvl w:val="0"/>
          <w:numId w:val="1004"/>
        </w:numPr>
      </w:pPr>
      <w:r>
        <w:t xml:space="preserve">импортировать вложения или запускать фоновые задания.</w:t>
      </w:r>
    </w:p>
    <w:p>
      <w:pPr>
        <w:pStyle w:val="FirstParagraph"/>
      </w:pPr>
      <w:r>
        <w:t xml:space="preserve">Такие действия должны оставаться в owner-модулях и использовать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только как источник field metadata.</w:t>
      </w:r>
    </w:p>
    <w:bookmarkEnd w:id="21"/>
    <w:bookmarkEnd w:id="22"/>
    <w:bookmarkStart w:id="26" w:name="эксплуатация-fieldconfiguration"/>
    <w:p>
      <w:pPr>
        <w:pStyle w:val="Heading2"/>
      </w:pPr>
      <w:r>
        <w:t xml:space="preserve">Эксплуатация FieldConfiguration</w:t>
      </w:r>
    </w:p>
    <w:bookmarkStart w:id="23" w:name="проверки"/>
    <w:p>
      <w:pPr>
        <w:pStyle w:val="Heading3"/>
      </w:pPr>
      <w:r>
        <w:t xml:space="preserve">1. Проверки</w:t>
      </w:r>
    </w:p>
    <w:p>
      <w:pPr>
        <w:pStyle w:val="FirstParagraph"/>
      </w:pPr>
      <w:r>
        <w:t xml:space="preserve">Минимальная проверка первого промышленного среза:</w:t>
      </w:r>
    </w:p>
    <w:p>
      <w:pPr>
        <w:pStyle w:val="SourceCode"/>
      </w:pPr>
      <w:r>
        <w:rPr>
          <w:rStyle w:val="VerbatimChar"/>
        </w:rPr>
        <w:t xml:space="preserve">UseModule('TestA')-&gt;RunModule('FieldConfiguration', array('levels' =&gt; 'safe-read'))</w:t>
      </w:r>
    </w:p>
    <w:p>
      <w:pPr>
        <w:pStyle w:val="FirstParagraph"/>
      </w:pPr>
      <w:r>
        <w:t xml:space="preserve">Проверяются нормализация field definitions, выбор поля по контексту, where-used diagnostics, legacy-export в dry-run режиме, системный JSON и HealthCheck-описание.</w:t>
      </w:r>
    </w:p>
    <w:bookmarkEnd w:id="23"/>
    <w:bookmarkStart w:id="24" w:name="диагностика"/>
    <w:p>
      <w:pPr>
        <w:pStyle w:val="Heading3"/>
      </w:pPr>
      <w:r>
        <w:t xml:space="preserve">2. Диагностика</w:t>
      </w:r>
    </w:p>
    <w:p>
      <w:pPr>
        <w:pStyle w:val="FirstParagraph"/>
      </w:pPr>
      <w:r>
        <w:t xml:space="preserve">Если поле не находится по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 проверьте:</w:t>
      </w:r>
    </w:p>
    <w:p>
      <w:pPr>
        <w:pStyle w:val="Compact"/>
        <w:numPr>
          <w:ilvl w:val="0"/>
          <w:numId w:val="1005"/>
        </w:numPr>
      </w:pPr>
      <w:r>
        <w:t xml:space="preserve">активность описания;</w:t>
      </w:r>
    </w:p>
    <w:p>
      <w:pPr>
        <w:pStyle w:val="Compact"/>
        <w:numPr>
          <w:ilvl w:val="0"/>
          <w:numId w:val="1005"/>
        </w:numPr>
      </w:pPr>
      <w:r>
        <w:t xml:space="preserve">совпадение owner module и record type;</w:t>
      </w:r>
    </w:p>
    <w:p>
      <w:pPr>
        <w:pStyle w:val="Compact"/>
        <w:numPr>
          <w:ilvl w:val="0"/>
          <w:numId w:val="1005"/>
        </w:numPr>
      </w:pPr>
      <w:r>
        <w:t xml:space="preserve">scope и project key;</w:t>
      </w:r>
    </w:p>
    <w:p>
      <w:pPr>
        <w:pStyle w:val="Compact"/>
        <w:numPr>
          <w:ilvl w:val="0"/>
          <w:numId w:val="1005"/>
        </w:numPr>
      </w:pPr>
      <w:r>
        <w:t xml:space="preserve">отсутствие дублей с одинаковым field key в одном scope;</w:t>
      </w:r>
    </w:p>
    <w:p>
      <w:pPr>
        <w:pStyle w:val="Compact"/>
        <w:numPr>
          <w:ilvl w:val="0"/>
          <w:numId w:val="1005"/>
        </w:numPr>
      </w:pPr>
      <w:r>
        <w:t xml:space="preserve">корректность</w:t>
      </w:r>
      <w:r>
        <w:t xml:space="preserve"> </w:t>
      </w:r>
      <w:r>
        <w:rPr>
          <w:rStyle w:val="VerbatimChar"/>
        </w:rPr>
        <w:t xml:space="preserve">storageBinding</w:t>
      </w:r>
      <w:r>
        <w:t xml:space="preserve"> </w:t>
      </w:r>
      <w:r>
        <w:t xml:space="preserve">и search prefix.</w:t>
      </w:r>
    </w:p>
    <w:p>
      <w:pPr>
        <w:pStyle w:val="FirstParagraph"/>
      </w:pPr>
      <w:r>
        <w:t xml:space="preserve">Если старый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не видит настройку, проверьте legacy-поля</w:t>
      </w:r>
      <w:r>
        <w:t xml:space="preserve"> </w:t>
      </w:r>
      <w:r>
        <w:rPr>
          <w:rStyle w:val="VerbatimChar"/>
        </w:rPr>
        <w:t xml:space="preserve">fieldHost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varName</w:t>
      </w:r>
      <w:r>
        <w:t xml:space="preserve"> </w:t>
      </w:r>
      <w:r>
        <w:t xml:space="preserve">и наличие файла в</w:t>
      </w:r>
      <w:r>
        <w:t xml:space="preserve"> </w:t>
      </w:r>
      <w:r>
        <w:rPr>
          <w:rStyle w:val="VerbatimChar"/>
        </w:rPr>
        <w:t xml:space="preserve">DataPath/FieldConfigurations/&lt;fieldHost&gt;/&lt;moduletype&gt;</w:t>
      </w:r>
      <w:r>
        <w:t xml:space="preserve">.</w:t>
      </w:r>
    </w:p>
    <w:bookmarkEnd w:id="24"/>
    <w:bookmarkStart w:id="25" w:name="healthcheck"/>
    <w:p>
      <w:pPr>
        <w:pStyle w:val="Heading3"/>
      </w:pPr>
      <w:r>
        <w:t xml:space="preserve">3. HealthCheck</w:t>
      </w:r>
    </w:p>
    <w:p>
      <w:pPr>
        <w:pStyle w:val="FirstParagraph"/>
      </w:pPr>
      <w:r>
        <w:t xml:space="preserve">Будущий HealthCheck provider должен проверять системный JSON, уникальность ключей, валидность физической привязки, where-used и отсутствие доменной логики потребителей внутри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Настройки поля</dc:title>
  <dc:creator/>
  <cp:keywords/>
  <dcterms:created xsi:type="dcterms:W3CDTF">2026-10-09T03:45:13Z</dcterms:created>
  <dcterms:modified xsi:type="dcterms:W3CDTF">2026-10-09T03:45:13Z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