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SyncPolicy и ConflictPolicy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syncpolicy-и-conflictpolicy"/>
    <w:p>
      <w:pPr>
        <w:pStyle w:val="Heading1"/>
      </w:pPr>
      <w:r>
        <w:t xml:space="preserve">SyncPolicy и ConflictPolicy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 </w:t>
      </w:r>
      <w:r>
        <w:t xml:space="preserve">являются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интеграций, где одного mapping уже недостаточно. Они позволяют объяснимо определить, можно ли применить входящее или исходящее изменение, какие поля конфликтуют, какая policy выбрана и почему результат должен быть отклонен, отложен, передан доменному модулю или отправлен на ручное разрешение.</w:t>
      </w:r>
    </w:p>
    <w:bookmarkStart w:id="9" w:name="syncpolicy"/>
    <w:p>
      <w:pPr>
        <w:pStyle w:val="Heading2"/>
      </w:pPr>
      <w:r>
        <w:t xml:space="preserve">1. SyncPolicy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синхронизации</w:t>
      </w:r>
      <w:r>
        <w:t xml:space="preserve">.</w:t>
      </w:r>
    </w:p>
    <w:p>
      <w:pPr>
        <w:pStyle w:val="BodyText"/>
      </w:pPr>
      <w:r>
        <w:t xml:space="preserve">Политика описывает:</w:t>
      </w:r>
    </w:p>
    <w:p>
      <w:pPr>
        <w:pStyle w:val="Compact"/>
        <w:numPr>
          <w:ilvl w:val="0"/>
          <w:numId w:val="1001"/>
        </w:numPr>
      </w:pPr>
      <w:r>
        <w:t xml:space="preserve">профиль внешней интеграции;</w:t>
      </w:r>
    </w:p>
    <w:p>
      <w:pPr>
        <w:pStyle w:val="Compact"/>
        <w:numPr>
          <w:ilvl w:val="0"/>
          <w:numId w:val="1001"/>
        </w:numPr>
      </w:pPr>
      <w:r>
        <w:t xml:space="preserve">APIContract и версию контракта;</w:t>
      </w:r>
    </w:p>
    <w:p>
      <w:pPr>
        <w:pStyle w:val="Compact"/>
        <w:numPr>
          <w:ilvl w:val="0"/>
          <w:numId w:val="1001"/>
        </w:numPr>
      </w:pPr>
      <w:r>
        <w:t xml:space="preserve">MappingProfile для нормализации payload;</w:t>
      </w:r>
    </w:p>
    <w:p>
      <w:pPr>
        <w:pStyle w:val="Compact"/>
        <w:numPr>
          <w:ilvl w:val="0"/>
          <w:numId w:val="1001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1"/>
        </w:numPr>
      </w:pPr>
      <w:r>
        <w:t xml:space="preserve">направление</w:t>
      </w:r>
      <w:r>
        <w:t xml:space="preserve"> </w:t>
      </w:r>
      <w:r>
        <w:rPr>
          <w:rStyle w:val="VerbatimChar"/>
        </w:rPr>
        <w:t xml:space="preserve">inbound</w:t>
      </w:r>
      <w:r>
        <w:t xml:space="preserve">,</w:t>
      </w:r>
      <w:r>
        <w:t xml:space="preserve"> </w:t>
      </w:r>
      <w:r>
        <w:rPr>
          <w:rStyle w:val="VerbatimChar"/>
        </w:rPr>
        <w:t xml:space="preserve">outbound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bidirectional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source-of-truth policy;</w:t>
      </w:r>
    </w:p>
    <w:p>
      <w:pPr>
        <w:pStyle w:val="Compact"/>
        <w:numPr>
          <w:ilvl w:val="0"/>
          <w:numId w:val="1001"/>
        </w:numPr>
      </w:pPr>
      <w:r>
        <w:t xml:space="preserve">ссылку на ConflictPolicy;</w:t>
      </w:r>
    </w:p>
    <w:p>
      <w:pPr>
        <w:pStyle w:val="Compact"/>
        <w:numPr>
          <w:ilvl w:val="0"/>
          <w:numId w:val="1001"/>
        </w:numPr>
      </w:pPr>
      <w:r>
        <w:t xml:space="preserve">idempotency scope;</w:t>
      </w:r>
    </w:p>
    <w:p>
      <w:pPr>
        <w:pStyle w:val="Compact"/>
        <w:numPr>
          <w:ilvl w:val="0"/>
          <w:numId w:val="1001"/>
        </w:numPr>
      </w:pPr>
      <w:r>
        <w:t xml:space="preserve">обязательность TraceContext;</w:t>
      </w:r>
    </w:p>
    <w:p>
      <w:pPr>
        <w:pStyle w:val="Compact"/>
        <w:numPr>
          <w:ilvl w:val="0"/>
          <w:numId w:val="1001"/>
        </w:numPr>
      </w:pPr>
      <w:r>
        <w:t xml:space="preserve">stale data policy;</w:t>
      </w:r>
    </w:p>
    <w:p>
      <w:pPr>
        <w:pStyle w:val="Compact"/>
        <w:numPr>
          <w:ilvl w:val="0"/>
          <w:numId w:val="1001"/>
        </w:numPr>
      </w:pPr>
      <w:r>
        <w:t xml:space="preserve">retry eligibility;</w:t>
      </w:r>
    </w:p>
    <w:p>
      <w:pPr>
        <w:pStyle w:val="Compact"/>
        <w:numPr>
          <w:ilvl w:val="0"/>
          <w:numId w:val="1001"/>
        </w:numPr>
      </w:pPr>
      <w:r>
        <w:t xml:space="preserve">список разрешенных операций.</w:t>
      </w:r>
    </w:p>
    <w:p>
      <w:pPr>
        <w:pStyle w:val="FirstParagraph"/>
      </w:pPr>
      <w:r>
        <w:t xml:space="preserve">Операция SyncPolicy может быть только contract-уровнем. API строит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но не сохраняет доменную запись, не выполняет Workflow-переход, не публикует события и не ставит Queue job.</w:t>
      </w:r>
    </w:p>
    <w:bookmarkEnd w:id="9"/>
    <w:bookmarkStart w:id="10" w:name="conflictpolicy"/>
    <w:p>
      <w:pPr>
        <w:pStyle w:val="Heading2"/>
      </w:pPr>
      <w:r>
        <w:t xml:space="preserve">2. ConflictPolicy</w:t>
      </w:r>
    </w:p>
    <w:p>
      <w:pPr>
        <w:pStyle w:val="FirstParagraph"/>
      </w:pPr>
      <w:r>
        <w:rPr>
          <w:rStyle w:val="VerbatimChar"/>
        </w:rPr>
        <w:t xml:space="preserve">ConflictPolicy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разрешения конфликтов</w:t>
      </w:r>
      <w:r>
        <w:t xml:space="preserve">.</w:t>
      </w:r>
    </w:p>
    <w:p>
      <w:pPr>
        <w:pStyle w:val="BodyText"/>
      </w:pPr>
      <w:r>
        <w:t xml:space="preserve">Поддерживаемые стратегии: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reject-with-explanation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internal-wins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external-wins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last-writer-wins</w:t>
      </w:r>
      <w:r>
        <w:t xml:space="preserve"> </w:t>
      </w:r>
      <w:r>
        <w:t xml:space="preserve">только с явной timestamp/version policy;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manual-resolution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field-level-merge</w:t>
      </w:r>
      <w:r>
        <w:t xml:space="preserve">.</w:t>
      </w:r>
    </w:p>
    <w:p>
      <w:pPr>
        <w:pStyle w:val="FirstParagraph"/>
      </w:pPr>
      <w:r>
        <w:t xml:space="preserve">Если policy не задана или неполна, безопасное поведение по умолчанию -</w:t>
      </w:r>
      <w:r>
        <w:t xml:space="preserve"> </w:t>
      </w:r>
      <w:r>
        <w:rPr>
          <w:rStyle w:val="VerbatimChar"/>
        </w:rPr>
        <w:t xml:space="preserve">reject-with-explanation</w:t>
      </w:r>
      <w:r>
        <w:t xml:space="preserve">. Неявное перезаписывание внутреннего или внешнего состояния запрещено.</w:t>
      </w:r>
    </w:p>
    <w:bookmarkEnd w:id="10"/>
    <w:bookmarkStart w:id="11" w:name="dry-run-sync"/>
    <w:p>
      <w:pPr>
        <w:pStyle w:val="Heading2"/>
      </w:pPr>
      <w:r>
        <w:t xml:space="preserve">3. Dry-run sync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принимает sync context и payload, вызывает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, подбирает SyncPolicy/ConflictPolicy, классифицирует field-level conflicts и возвращает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SyncPlan</w:t>
      </w:r>
      <w:r>
        <w:t xml:space="preserve"> </w:t>
      </w:r>
      <w:r>
        <w:t xml:space="preserve">включает:</w:t>
      </w:r>
    </w:p>
    <w:p>
      <w:pPr>
        <w:pStyle w:val="Compact"/>
        <w:numPr>
          <w:ilvl w:val="0"/>
          <w:numId w:val="1003"/>
        </w:numPr>
      </w:pPr>
      <w:r>
        <w:t xml:space="preserve">normalized payload;</w:t>
      </w:r>
    </w:p>
    <w:p>
      <w:pPr>
        <w:pStyle w:val="Compact"/>
        <w:numPr>
          <w:ilvl w:val="0"/>
          <w:numId w:val="1003"/>
        </w:numPr>
      </w:pPr>
      <w:r>
        <w:t xml:space="preserve">найденный ExternalId;</w:t>
      </w:r>
    </w:p>
    <w:p>
      <w:pPr>
        <w:pStyle w:val="Compact"/>
        <w:numPr>
          <w:ilvl w:val="0"/>
          <w:numId w:val="1003"/>
        </w:numPr>
      </w:pPr>
      <w:r>
        <w:t xml:space="preserve">ссылку на внутренний объект;</w:t>
      </w:r>
    </w:p>
    <w:p>
      <w:pPr>
        <w:pStyle w:val="Compact"/>
        <w:numPr>
          <w:ilvl w:val="0"/>
          <w:numId w:val="1003"/>
        </w:numPr>
      </w:pPr>
      <w:r>
        <w:t xml:space="preserve">proposed field changes по stable field keys;</w:t>
      </w:r>
    </w:p>
    <w:p>
      <w:pPr>
        <w:pStyle w:val="Compact"/>
        <w:numPr>
          <w:ilvl w:val="0"/>
          <w:numId w:val="1003"/>
        </w:numPr>
      </w:pPr>
      <w:r>
        <w:t xml:space="preserve">workflow action request без выполнения перехода;</w:t>
      </w:r>
    </w:p>
    <w:p>
      <w:pPr>
        <w:pStyle w:val="Compact"/>
        <w:numPr>
          <w:ilvl w:val="0"/>
          <w:numId w:val="1003"/>
        </w:numPr>
      </w:pPr>
      <w:r>
        <w:t xml:space="preserve">participant/file resolver requests;</w:t>
      </w:r>
    </w:p>
    <w:p>
      <w:pPr>
        <w:pStyle w:val="Compact"/>
        <w:numPr>
          <w:ilvl w:val="0"/>
          <w:numId w:val="1003"/>
        </w:numPr>
      </w:pPr>
      <w:r>
        <w:t xml:space="preserve">conflict classes;</w:t>
      </w:r>
    </w:p>
    <w:p>
      <w:pPr>
        <w:pStyle w:val="Compact"/>
        <w:numPr>
          <w:ilvl w:val="0"/>
          <w:numId w:val="1003"/>
        </w:numPr>
      </w:pPr>
      <w:r>
        <w:t xml:space="preserve">выбранную policy decision;</w:t>
      </w:r>
    </w:p>
    <w:p>
      <w:pPr>
        <w:pStyle w:val="Compact"/>
        <w:numPr>
          <w:ilvl w:val="0"/>
          <w:numId w:val="1003"/>
        </w:numPr>
      </w:pPr>
      <w:r>
        <w:t xml:space="preserve">idempotency fingerprint;</w:t>
      </w:r>
    </w:p>
    <w:p>
      <w:pPr>
        <w:pStyle w:val="Compact"/>
        <w:numPr>
          <w:ilvl w:val="0"/>
          <w:numId w:val="1003"/>
        </w:numPr>
      </w:pPr>
      <w:r>
        <w:t xml:space="preserve">trace metadata;</w:t>
      </w:r>
    </w:p>
    <w:p>
      <w:pPr>
        <w:pStyle w:val="Compact"/>
        <w:numPr>
          <w:ilvl w:val="0"/>
          <w:numId w:val="1003"/>
        </w:numPr>
      </w:pPr>
      <w:r>
        <w:t xml:space="preserve">Security summary;</w:t>
      </w:r>
    </w:p>
    <w:p>
      <w:pPr>
        <w:pStyle w:val="Compact"/>
        <w:numPr>
          <w:ilvl w:val="0"/>
          <w:numId w:val="1003"/>
        </w:numPr>
      </w:pPr>
      <w:r>
        <w:t xml:space="preserve">стандартный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 </w:t>
      </w:r>
      <w:r>
        <w:t xml:space="preserve">для доменного модуля.</w:t>
      </w:r>
    </w:p>
    <w:p>
      <w:pPr>
        <w:pStyle w:val="FirstParagraph"/>
      </w:pPr>
      <w:r>
        <w:t xml:space="preserve">Dry-run sync не имеет побочных эффектов.</w:t>
      </w:r>
    </w:p>
    <w:bookmarkEnd w:id="11"/>
    <w:bookmarkStart w:id="12" w:name="границы-ответственности"/>
    <w:p>
      <w:pPr>
        <w:pStyle w:val="Heading2"/>
      </w:pPr>
      <w:r>
        <w:t xml:space="preserve">4.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SyncPolicy, ConflictPolicy, dry-run sync, explainable diff, SyncPlan, SyncApplyRequest/SyncApplyResult contract, where-used и API diagnostics.</w:t>
      </w:r>
    </w:p>
    <w:p>
      <w:pPr>
        <w:pStyle w:val="BodyText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inbox/outbox, delivery, retry и dead-letter доставки.</w:t>
      </w:r>
    </w:p>
    <w:p>
      <w:pPr>
        <w:pStyle w:val="BodyText"/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scheduling, retry/backoff, timeout, worker state и job dead-letter.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masking, field security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доступностью workflow-действий.</w:t>
      </w:r>
    </w:p>
    <w:p>
      <w:pPr>
        <w:pStyle w:val="BodyText"/>
      </w:pPr>
      <w:r>
        <w:t xml:space="preserve">Доменные модули применяют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сохраняют записи, выполняют бизнес-валидацию и возвращают</w:t>
      </w:r>
      <w:r>
        <w:t xml:space="preserve"> </w:t>
      </w:r>
      <w:r>
        <w:rPr>
          <w:rStyle w:val="VerbatimChar"/>
        </w:rPr>
        <w:t xml:space="preserve">SyncApplyResult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SyncPolicy и ConflictPolicy</dc:title>
  <dc:creator/>
  <cp:keywords/>
  <dcterms:created xsi:type="dcterms:W3CDTF">2026-10-05T22:53:14Z</dcterms:created>
  <dcterms:modified xsi:type="dcterms:W3CDTF">2026-10-05T22:53:14Z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