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eventbus"/>
    <w:p>
      <w:pPr>
        <w:pStyle w:val="Heading1"/>
      </w:pPr>
      <w:r>
        <w:t xml:space="preserve">Руководство программиста EventBus</w:t>
      </w:r>
    </w:p>
    <w:p>
      <w:pPr>
        <w:pStyle w:val="FirstParagraph"/>
      </w:pPr>
      <w:r>
        <w:t xml:space="preserve">Модуль-источник публикует событие через</w:t>
      </w:r>
      <w:r>
        <w:t xml:space="preserve"> </w:t>
      </w:r>
      <w:r>
        <w:rPr>
          <w:rStyle w:val="VerbatimChar"/>
        </w:rPr>
        <w:t xml:space="preserve">UseModule('EventBus')-&gt;PublishEvent($eventData, $options)</w:t>
      </w:r>
      <w:r>
        <w:t xml:space="preserve">. Минимальный набор данных:</w:t>
      </w:r>
      <w:r>
        <w:t xml:space="preserve"> </w:t>
      </w:r>
      <w:r>
        <w:rPr>
          <w:rStyle w:val="VerbatimChar"/>
        </w:rPr>
        <w:t xml:space="preserve">eventType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,</w:t>
      </w:r>
      <w:r>
        <w:t xml:space="preserve"> </w:t>
      </w:r>
      <w:r>
        <w:rPr>
          <w:rStyle w:val="VerbatimChar"/>
        </w:rPr>
        <w:t xml:space="preserve">payload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snapshot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.</w:t>
      </w:r>
    </w:p>
    <w:p>
      <w:pPr>
        <w:pStyle w:val="BodyText"/>
      </w:pPr>
      <w:r>
        <w:t xml:space="preserve">Тип события регистрируется через</w:t>
      </w:r>
      <w:r>
        <w:t xml:space="preserve"> </w:t>
      </w:r>
      <w:r>
        <w:rPr>
          <w:rStyle w:val="VerbatimChar"/>
        </w:rPr>
        <w:t xml:space="preserve">RegisterEventType()</w:t>
      </w:r>
      <w:r>
        <w:t xml:space="preserve">. Подписка регистрируется через</w:t>
      </w:r>
      <w:r>
        <w:t xml:space="preserve"> </w:t>
      </w:r>
      <w:r>
        <w:rPr>
          <w:rStyle w:val="VerbatimChar"/>
        </w:rPr>
        <w:t xml:space="preserve">RegisterSubscription()</w:t>
      </w:r>
      <w:r>
        <w:t xml:space="preserve"> </w:t>
      </w:r>
      <w:r>
        <w:t xml:space="preserve">и описывает ключ, типы событий, фильтр, обработчик, канал и класс выполнения.</w:t>
      </w:r>
      <w:r>
        <w:t xml:space="preserve"> </w:t>
      </w:r>
      <w:r>
        <w:rPr>
          <w:rStyle w:val="VerbatimChar"/>
        </w:rPr>
        <w:t xml:space="preserve">BuildDeliveryPlan()</w:t>
      </w:r>
      <w:r>
        <w:t xml:space="preserve"> </w:t>
      </w:r>
      <w:r>
        <w:t xml:space="preserve">возвращает dry-run план доставок без вызова обработчиков.</w:t>
      </w:r>
      <w:r>
        <w:t xml:space="preserve"> </w:t>
      </w:r>
      <w:r>
        <w:rPr>
          <w:rStyle w:val="VerbatimChar"/>
        </w:rPr>
        <w:t xml:space="preserve">DispatchDue()</w:t>
      </w:r>
      <w:r>
        <w:t xml:space="preserve"> </w:t>
      </w:r>
      <w:r>
        <w:t xml:space="preserve">по умолчанию работает в режиме</w:t>
      </w:r>
      <w:r>
        <w:t xml:space="preserve"> </w:t>
      </w:r>
      <w:r>
        <w:rPr>
          <w:rStyle w:val="VerbatimChar"/>
        </w:rPr>
        <w:t xml:space="preserve">dryRun</w:t>
      </w:r>
      <w:r>
        <w:t xml:space="preserve">; явное выполнение обработчиков должно оставаться легким и идемпотентным, а тяжелая работа переносится в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p>
      <w:pPr>
        <w:pStyle w:val="BodyText"/>
      </w:pPr>
      <w:r>
        <w:t xml:space="preserve">Payload события должен быть JSON-совместимым и безопасным. В него нельзя помещать соединения с БД, PHP-объекты, файловые ресурсы, пароли, токены, cookie, подписи и полный текст закрытых доменных данных. Для доставки детального payload доменный модуль должен предоставить собственный безопасный resolver и актуально проверить права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EventBus</dc:title>
  <dc:creator/>
  <cp:keywords/>
  <dcterms:created xsi:type="dcterms:W3CDTF">2026-10-06T02:43:39Z</dcterms:created>
  <dcterms:modified xsi:type="dcterms:W3CDTF">2026-10-06T02:43:39Z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