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approval"/>
    <w:p>
      <w:pPr>
        <w:pStyle w:val="Heading1"/>
      </w:pPr>
      <w:r>
        <w:t xml:space="preserve">WorkflowApproval</w:t>
      </w:r>
    </w:p>
    <w:p>
      <w:pPr>
        <w:pStyle w:val="FirstParagraph"/>
      </w:pPr>
      <w:r>
        <w:t xml:space="preserve">WorkflowApproval добавляет формальные согласования к переходам Workflow. Модуль хранит approval gates, policies и requests, но не заменяет Workflow и не выполняет чужую доменную логику.</w:t>
      </w:r>
    </w:p>
    <w:bookmarkStart w:id="9" w:name="назначение-workflowapproval"/>
    <w:p>
      <w:pPr>
        <w:pStyle w:val="Heading2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bookmarkStart w:id="10" w:name="модель-данных-workflowapproval"/>
    <w:p>
      <w:pPr>
        <w:pStyle w:val="Heading2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3"/>
        </w:numPr>
      </w:pPr>
      <w:r>
        <w:t xml:space="preserve">автор записи;</w:t>
      </w:r>
    </w:p>
    <w:p>
      <w:pPr>
        <w:pStyle w:val="Compact"/>
        <w:numPr>
          <w:ilvl w:val="0"/>
          <w:numId w:val="1003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3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3"/>
        </w:numPr>
      </w:pPr>
      <w:r>
        <w:t xml:space="preserve">роль проекта;</w:t>
      </w:r>
    </w:p>
    <w:p>
      <w:pPr>
        <w:pStyle w:val="Compact"/>
        <w:numPr>
          <w:ilvl w:val="0"/>
          <w:numId w:val="1003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3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3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10"/>
    <w:bookmarkStart w:id="11" w:name="выполнение-workflowapproval"/>
    <w:p>
      <w:pPr>
        <w:pStyle w:val="Heading2"/>
      </w:pPr>
      <w:r>
        <w:t xml:space="preserve">Выполнение WorkflowApproval</w:t>
      </w:r>
    </w:p>
    <w:p>
      <w:pPr>
        <w:pStyle w:val="FirstParagraph"/>
      </w:pPr>
      <w:r>
        <w:t xml:space="preserve">Workflow вызывает WorkflowApproval после проверки route, прав и condition-формата перехода, но до изменения состояния записи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t xml:space="preserve">Если у перехода не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 переход выполняется штатно. Если gate отключен или информационный, переход также продолжается без blocking request.</w:t>
      </w:r>
    </w:p>
    <w:p>
      <w:pPr>
        <w:pStyle w:val="BodyText"/>
      </w:pPr>
      <w:r>
        <w:t xml:space="preserve">Если gate условный, WorkflowApproval выполняет указанный condition-формат. Пустой результат,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означает, что согласование не требуется. Непустой положительный результат означает, что нужно создать request.</w:t>
      </w:r>
    </w:p>
    <w:p>
      <w:pPr>
        <w:pStyle w:val="BodyText"/>
      </w:pPr>
      <w:r>
        <w:t xml:space="preserve">Если согласование требуется, WorkflowApproval создает или находит idempotent pending request и возвращает</w:t>
      </w:r>
      <w:r>
        <w:t xml:space="preserve"> </w:t>
      </w:r>
      <w:r>
        <w:rPr>
          <w:rStyle w:val="VerbatimChar"/>
        </w:rPr>
        <w:t xml:space="preserve">approvalRequired=true</w:t>
      </w:r>
      <w:r>
        <w:t xml:space="preserve">. Workflow откатывает изменения записи и не меняет статус. Пользователь видит, что переход отправлен на согласование.</w:t>
      </w:r>
    </w:p>
    <w:p>
      <w:pPr>
        <w:pStyle w:val="BodyText"/>
      </w:pPr>
      <w:r>
        <w:t xml:space="preserve">После решения участников request может стать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. Первый срез фиксирует continuation state и контракт повторной проверки. Перед фактическим continuation Workflow должен заново проверить актуальный статус, маршрут, condition, блокировки, версию transition и права перехода.</w:t>
      </w:r>
    </w:p>
    <w:p>
      <w:pPr>
        <w:pStyle w:val="BodyText"/>
      </w:pPr>
      <w:r>
        <w:t xml:space="preserve">Safe screen data snapshot хранит только безопасные значения. Секреты, токены, cookies, пароли и сырые upload payload не сохраняются в request.</w:t>
      </w:r>
    </w:p>
    <w:bookmarkEnd w:id="11"/>
    <w:bookmarkStart w:id="12" w:name="X1e3157ce33812fc2a1d7ebb5c81ffff7adde814"/>
    <w:p>
      <w:pPr>
        <w:pStyle w:val="Heading2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4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4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4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4"/>
        </w:numPr>
      </w:pPr>
      <w:r>
        <w:t xml:space="preserve">кворум;</w:t>
      </w:r>
    </w:p>
    <w:p>
      <w:pPr>
        <w:pStyle w:val="Compact"/>
        <w:numPr>
          <w:ilvl w:val="0"/>
          <w:numId w:val="1004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4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4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5"/>
        </w:numPr>
      </w:pPr>
      <w:r>
        <w:t xml:space="preserve">workflow;</w:t>
      </w:r>
    </w:p>
    <w:p>
      <w:pPr>
        <w:pStyle w:val="Compact"/>
        <w:numPr>
          <w:ilvl w:val="0"/>
          <w:numId w:val="1005"/>
        </w:numPr>
      </w:pPr>
      <w:r>
        <w:t xml:space="preserve">policy;</w:t>
      </w:r>
    </w:p>
    <w:p>
      <w:pPr>
        <w:pStyle w:val="Compact"/>
        <w:numPr>
          <w:ilvl w:val="0"/>
          <w:numId w:val="1005"/>
        </w:numPr>
      </w:pPr>
      <w:r>
        <w:t xml:space="preserve">режим gate;</w:t>
      </w:r>
    </w:p>
    <w:p>
      <w:pPr>
        <w:pStyle w:val="Compact"/>
        <w:numPr>
          <w:ilvl w:val="0"/>
          <w:numId w:val="1005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5"/>
        </w:numPr>
      </w:pPr>
      <w:r>
        <w:t xml:space="preserve">execution principal;</w:t>
      </w:r>
    </w:p>
    <w:p>
      <w:pPr>
        <w:pStyle w:val="Compact"/>
        <w:numPr>
          <w:ilvl w:val="0"/>
          <w:numId w:val="1005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5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12"/>
    <w:bookmarkStart w:id="13" w:name="X46a322a11693ff695c92a4b754d1c825c7b26dd"/>
    <w:p>
      <w:pPr>
        <w:pStyle w:val="Heading2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6"/>
        </w:numPr>
      </w:pPr>
      <w:r>
        <w:t xml:space="preserve">согласовать;</w:t>
      </w:r>
    </w:p>
    <w:p>
      <w:pPr>
        <w:pStyle w:val="Compact"/>
        <w:numPr>
          <w:ilvl w:val="0"/>
          <w:numId w:val="1006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6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6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13"/>
    <w:bookmarkStart w:id="14" w:name="X138cb126bf5534447ce618f5ecf07234a062e84"/>
    <w:p>
      <w:pPr>
        <w:pStyle w:val="Heading2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14"/>
    <w:bookmarkStart w:id="15" w:name="X3448caa9a62ebe74ff7bd589fc53372fadcda6a"/>
    <w:p>
      <w:pPr>
        <w:pStyle w:val="Heading2"/>
      </w:pPr>
      <w:r>
        <w:t xml:space="preserve">Эксплуатационный runbook WorkflowApproval</w:t>
      </w:r>
    </w:p>
    <w:p>
      <w:pPr>
        <w:pStyle w:val="FirstParagraph"/>
      </w:pPr>
      <w:r>
        <w:t xml:space="preserve">Для диагностики зависших согласований нужно начинать с request: статус,</w:t>
      </w:r>
      <w:r>
        <w:t xml:space="preserve"> </w:t>
      </w:r>
      <w:r>
        <w:rPr>
          <w:rStyle w:val="VerbatimChar"/>
        </w:rPr>
        <w:t xml:space="preserve">continuationState</w:t>
      </w:r>
      <w:r>
        <w:t xml:space="preserve">, количество попыток continuation, последняя безопасная ошибка, участники и решения.</w:t>
      </w:r>
    </w:p>
    <w:p>
      <w:pPr>
        <w:pStyle w:val="BodyText"/>
      </w:pPr>
      <w:r>
        <w:t xml:space="preserve">Типовые состояния: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waiting</w:t>
      </w:r>
      <w:r>
        <w:t xml:space="preserve"> </w:t>
      </w:r>
      <w:r>
        <w:t xml:space="preserve">- request ожидает решения участников;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approved</w:t>
      </w:r>
      <w:r>
        <w:t xml:space="preserve"> </w:t>
      </w:r>
      <w:r>
        <w:t xml:space="preserve">+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- согласование завершено, нужен continuation через Workflow/Queue;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rejected</w:t>
      </w:r>
      <w:r>
        <w:t xml:space="preserve"> </w:t>
      </w:r>
      <w:r>
        <w:t xml:space="preserve">- переход отменен отказом согласующих;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continuationError</w:t>
      </w:r>
      <w:r>
        <w:t xml:space="preserve"> </w:t>
      </w:r>
      <w:r>
        <w:t xml:space="preserve">- continuation завершился ошибкой;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semanticRequiresNewTransitionRun</w:t>
      </w:r>
      <w:r>
        <w:t xml:space="preserve"> </w:t>
      </w:r>
      <w:r>
        <w:t xml:space="preserve">- старое согласование нельзя применять к текущему состоянию записи.</w:t>
      </w:r>
    </w:p>
    <w:p>
      <w:pPr>
        <w:pStyle w:val="FirstParagraph"/>
      </w:pPr>
      <w:r>
        <w:t xml:space="preserve">Повтор continuation допустим только для технически восстановимых ошибок: временная блокировка, transient DB/runtime failure, временная недоступность обязательной интеграции, ошибка Queue/EventBus или идемпотентно повторяемая post-function.</w:t>
      </w:r>
    </w:p>
    <w:p>
      <w:pPr>
        <w:pStyle w:val="BodyText"/>
      </w:pPr>
      <w:r>
        <w:t xml:space="preserve">Новый запуск перехода требуется, если изменилась доменная запись, текущий статус, доступность route, condition, права, screen snapshot или версии transition/gate/policy/screen.</w:t>
      </w:r>
    </w:p>
    <w:p>
      <w:pPr>
        <w:pStyle w:val="BodyText"/>
      </w:pPr>
      <w:r>
        <w:t xml:space="preserve">HealthCheck должен использоваться перед публикацией workflow-конфигурации: битые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, condition, screen, resolver, deadline, calendar или Queue/EventBus profile являются основанием остановить публикацию.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WorkflowApproval</dc:title>
  <dc:creator/>
  <cp:keywords/>
  <dcterms:created xsi:type="dcterms:W3CDTF">2026-10-08T19:57:47Z</dcterms:created>
  <dcterms:modified xsi:type="dcterms:W3CDTF">2026-10-08T19:57:47Z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