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2.png" ContentType="image/png"/>
  <Override PartName="/word/media/rId46.png" ContentType="image/png"/>
  <Override PartName="/word/media/rId27.png" ContentType="image/png"/>
  <Override PartName="/word/media/rId55.png" ContentType="image/png"/>
  <Override PartName="/word/media/rId51.png" ContentType="image/png"/>
  <Override PartName="/word/media/rId22.png" ContentType="image/png"/>
  <Override PartName="/word/media/rId41.png" ContentType="image/png"/>
  <Override PartName="/word/media/rId35.png" ContentType="image/png"/>
  <Override PartName="/word/media/rId3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Администратор управляет he3 через профиль Каталогизатора, рабочие листы WS/WSS, файлы меню и настройки методов ввода. Модуль не требует отдельного описания полей в</w:t>
      </w:r>
      <w:r>
        <w:t xml:space="preserve"> </w:t>
      </w:r>
      <w:r>
        <w:rPr>
          <w:rStyle w:val="VerbatimChar"/>
        </w:rPr>
        <w:t xml:space="preserve">.field</w:t>
      </w:r>
      <w:r>
        <w:t xml:space="preserve">: основная схема строится из рабочих листов ИРБИС.</w:t>
      </w:r>
    </w:p>
    <w:bookmarkStart w:id="9" w:name="что-настраивается"/>
    <w:p>
      <w:pPr>
        <w:pStyle w:val="Heading2"/>
      </w:pPr>
      <w:r>
        <w:t xml:space="preserve">1. Что настраивается</w:t>
      </w:r>
    </w:p>
    <w:p>
      <w:pPr>
        <w:pStyle w:val="Compact"/>
        <w:numPr>
          <w:ilvl w:val="0"/>
          <w:numId w:val="1001"/>
        </w:numPr>
      </w:pPr>
      <w:r>
        <w:t xml:space="preserve">В профиле Каталогизатора выбирается тип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базы поддерживаются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сложных полей указываются вложенные рабочие листы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полей задаются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подсказки, повторяемость и признак служебного поля.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поддерживается общий список полей, которые можно добавить в запись из окна «Добавление полей».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модуль или поставка может зарегистрировать дополнительный виджет через API he3.</w:t>
      </w:r>
    </w:p>
    <w:bookmarkEnd w:id="9"/>
    <w:bookmarkStart w:id="10" w:name="черновики"/>
    <w:p>
      <w:pPr>
        <w:pStyle w:val="Heading2"/>
      </w:pPr>
      <w:r>
        <w:t xml:space="preserve">2. Черновики</w:t>
      </w:r>
    </w:p>
    <w:p>
      <w:pPr>
        <w:pStyle w:val="FirstParagraph"/>
      </w:pPr>
      <w:r>
        <w:t xml:space="preserve">При первом обращении к сервису черновиков модуль создает SQLite-базу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 </w:t>
      </w:r>
      <w:r>
        <w:t xml:space="preserve">и таблицу</w:t>
      </w:r>
      <w:r>
        <w:t xml:space="preserve"> </w:t>
      </w:r>
      <w:r>
        <w:rPr>
          <w:rStyle w:val="VerbatimChar"/>
        </w:rPr>
        <w:t xml:space="preserve">drafts</w:t>
      </w:r>
      <w:r>
        <w:t xml:space="preserve">. Черновик содержит идентификатор, имя базы, MFN, JSON-данные записи, версию и время обновления. Черновики старше суток удаляются при создании нового черновика.</w:t>
      </w:r>
    </w:p>
    <w:bookmarkEnd w:id="10"/>
    <w:bookmarkStart w:id="11" w:name="плагины-виджетов"/>
    <w:p>
      <w:pPr>
        <w:pStyle w:val="Heading2"/>
      </w:pPr>
      <w:r>
        <w:t xml:space="preserve">3. Плагины виджетов</w:t>
      </w:r>
    </w:p>
    <w:p>
      <w:pPr>
        <w:pStyle w:val="FirstParagraph"/>
      </w:pPr>
      <w:r>
        <w:t xml:space="preserve">В модуле есть PHP API регистрации виджета: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'he3'</w:t>
      </w:r>
      <w:r>
        <w:rPr>
          <w:rStyle w:val="NormalTok"/>
        </w:rPr>
        <w:t xml:space="preserve">)-&gt;RegisterWidgetPlugin(</w:t>
      </w:r>
      <w:r>
        <w:rPr>
          <w:rStyle w:val="DecValTok"/>
        </w:rPr>
        <w:t xml:space="preserve">128001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'wysiwyg'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После регистрации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сможет сопоставить указанный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с именем виджета. На клиентской стороне должен быть зарегистрирован одноименный обработчик через</w:t>
      </w:r>
      <w:r>
        <w:t xml:space="preserve"> </w:t>
      </w:r>
      <w:r>
        <w:rPr>
          <w:rStyle w:val="VerbatimChar"/>
        </w:rPr>
        <w:t xml:space="preserve">Irbis.he3.WidgetRegistry.register</w:t>
      </w:r>
      <w:r>
        <w:t xml:space="preserve">. Готовый внешний WYSIWYG-виджет в стандартном комплекте не описан; пример выше показывает механизм, а не наличие конкретного виджета.</w:t>
      </w:r>
    </w:p>
    <w:bookmarkEnd w:id="11"/>
    <w:bookmarkStart w:id="12" w:name="выбор-рабочего-листа-редактора"/>
    <w:p>
      <w:pPr>
        <w:pStyle w:val="Heading2"/>
      </w:pPr>
      <w:r>
        <w:t xml:space="preserve">4. Выбор рабочего листа редактора</w:t>
      </w:r>
    </w:p>
    <w:p>
      <w:pPr>
        <w:pStyle w:val="FirstParagraph"/>
      </w:pPr>
      <w:r>
        <w:t xml:space="preserve">Если при открытии редактора явно передан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открывает указанный рабочий лист. Если параметр не передан, редактор использует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общий для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t xml:space="preserve">Для существующей записи рабочий лист определяется по типу записи. Поле типа берется из параметра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 </w:t>
      </w:r>
      <w:r>
        <w:t xml:space="preserve">INI-файла базы, по умолчанию это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Полученное значение сопоставляется через OPT-файл из параметра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 Например, если в записи указано</w:t>
      </w:r>
      <w:r>
        <w:t xml:space="preserve"> </w:t>
      </w:r>
      <w:r>
        <w:rPr>
          <w:rStyle w:val="VerbatimChar"/>
        </w:rPr>
        <w:t xml:space="preserve">920=NJ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есть соответствие</w:t>
      </w:r>
      <w:r>
        <w:t xml:space="preserve"> </w:t>
      </w:r>
      <w:r>
        <w:rPr>
          <w:rStyle w:val="VerbatimChar"/>
        </w:rPr>
        <w:t xml:space="preserve">NJ -&gt; !NJ31</w:t>
      </w:r>
      <w:r>
        <w:t xml:space="preserve">, редактор откроет рабочий лист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</w:p>
    <w:p>
      <w:pPr>
        <w:pStyle w:val="BodyText"/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 Для новой записи без типа редактор берет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из рабочего листа по умолчанию и также пытается сопоставить его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p>
      <w:pPr>
        <w:pStyle w:val="BodyText"/>
      </w:pPr>
      <w:r>
        <w:t xml:space="preserve">На верхней панели редактора доступно поле «Рабочий лист». Список берется из MNU-файла, указанного в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; если параметр не задан, используется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 При ручном выборе редактор перестраивает вкладки по выбранному рабочему листу и продолжает работать с тем же серверным черновиком записи.</w:t>
      </w:r>
    </w:p>
    <w:p>
      <w:pPr>
        <w:pStyle w:val="BodyText"/>
      </w:pPr>
      <w:r>
        <w:t xml:space="preserve">Подробные разделы:</w:t>
      </w:r>
    </w:p>
    <w:bookmarkEnd w:id="12"/>
    <w:bookmarkStart w:id="18" w:name="настройка-ws-wss-и-default.ws"/>
    <w:p>
      <w:pPr>
        <w:pStyle w:val="Heading2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13" w:name="основной-рабочий-лист-ws"/>
    <w:p>
      <w:pPr>
        <w:pStyle w:val="Heading3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02"/>
        </w:numPr>
      </w:pPr>
      <w:r>
        <w:t xml:space="preserve">числовую метку;</w:t>
      </w:r>
    </w:p>
    <w:p>
      <w:pPr>
        <w:pStyle w:val="Compact"/>
        <w:numPr>
          <w:ilvl w:val="0"/>
          <w:numId w:val="1002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2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подсказку;</w:t>
      </w:r>
    </w:p>
    <w:p>
      <w:pPr>
        <w:pStyle w:val="Compact"/>
        <w:numPr>
          <w:ilvl w:val="0"/>
          <w:numId w:val="1002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13"/>
    <w:bookmarkStart w:id="14" w:name="вложенные-рабочие-листы-wss"/>
    <w:p>
      <w:pPr>
        <w:pStyle w:val="Heading3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4"/>
    <w:bookmarkStart w:id="15" w:name="default.ws"/>
    <w:p>
      <w:pPr>
        <w:pStyle w:val="Heading3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03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03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03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5"/>
    <w:bookmarkStart w:id="16" w:name="служебные-поля"/>
    <w:p>
      <w:pPr>
        <w:pStyle w:val="Heading3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04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6"/>
    <w:bookmarkStart w:id="17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05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05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05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05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ФЛК и предпросмотр работают на черновике.</w:t>
      </w:r>
    </w:p>
    <w:bookmarkEnd w:id="17"/>
    <w:bookmarkEnd w:id="18"/>
    <w:bookmarkStart w:id="67" w:name="настройка-inmode-и-виджетов"/>
    <w:p>
      <w:pPr>
        <w:pStyle w:val="Heading2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19" w:name="карта-методов"/>
    <w:p>
      <w:pPr>
        <w:pStyle w:val="Heading3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19"/>
    <w:bookmarkStart w:id="20" w:name="требования-к-dopinf"/>
    <w:p>
      <w:pPr>
        <w:pStyle w:val="Heading3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06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20"/>
    <w:bookmarkStart w:id="21" w:name="пользовательские-виджеты"/>
    <w:p>
      <w:pPr>
        <w:pStyle w:val="Heading3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07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07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07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21"/>
    <w:bookmarkStart w:id="66" w:name="средства-ввода"/>
    <w:p>
      <w:pPr>
        <w:pStyle w:val="Heading3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2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25" w:name="общие-элементы"/>
    <w:p>
      <w:pPr>
        <w:pStyle w:val="Heading4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8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8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8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8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8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09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09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09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09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09"/>
        </w:numPr>
      </w:pPr>
      <w:r>
        <w:t xml:space="preserve">подсказки и горячие клавиши стандартного редактора.</w:t>
      </w:r>
    </w:p>
    <w:bookmarkEnd w:id="25"/>
    <w:bookmarkStart w:id="26" w:name="X3c94d163a6dfcd834bae781a506dd77905b63a6"/>
    <w:p>
      <w:pPr>
        <w:pStyle w:val="Heading4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26"/>
    <w:bookmarkStart w:id="30" w:name="inmode-1-и-2-справочник-или-словарь"/>
    <w:p>
      <w:pPr>
        <w:pStyle w:val="Heading4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2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0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0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0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0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0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30"/>
    <w:bookmarkStart w:id="34" w:name="inmode-3-грнти"/>
    <w:p>
      <w:pPr>
        <w:pStyle w:val="Heading4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3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поле поиска;</w:t>
      </w:r>
    </w:p>
    <w:p>
      <w:pPr>
        <w:pStyle w:val="Compact"/>
        <w:numPr>
          <w:ilvl w:val="0"/>
          <w:numId w:val="1011"/>
        </w:numPr>
      </w:pPr>
      <w:r>
        <w:t xml:space="preserve">дерево рубрик;</w:t>
      </w:r>
    </w:p>
    <w:p>
      <w:pPr>
        <w:pStyle w:val="Compact"/>
        <w:numPr>
          <w:ilvl w:val="0"/>
          <w:numId w:val="1011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1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34"/>
    <w:bookmarkStart w:id="38" w:name="inmode-4-и-8-многострочный-ввод"/>
    <w:p>
      <w:pPr>
        <w:pStyle w:val="Heading4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3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2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2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2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38"/>
    <w:bookmarkStart w:id="39" w:name="inmode-5-и-wss-вложенные-подполя"/>
    <w:p>
      <w:pPr>
        <w:pStyle w:val="Heading4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3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3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3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3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3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3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39"/>
    <w:bookmarkStart w:id="40" w:name="inmode-6-иерархический-справочник"/>
    <w:p>
      <w:pPr>
        <w:pStyle w:val="Heading4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40"/>
    <w:bookmarkStart w:id="44" w:name="inmode-7-радиокнопки"/>
    <w:p>
      <w:pPr>
        <w:pStyle w:val="Heading4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4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4"/>
        </w:numPr>
      </w:pPr>
      <w:r>
        <w:t xml:space="preserve">радиогруппа;</w:t>
      </w:r>
    </w:p>
    <w:p>
      <w:pPr>
        <w:pStyle w:val="Compact"/>
        <w:numPr>
          <w:ilvl w:val="0"/>
          <w:numId w:val="1014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4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4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44"/>
    <w:bookmarkStart w:id="45" w:name="inmode-9-маска"/>
    <w:p>
      <w:pPr>
        <w:pStyle w:val="Heading4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5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5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5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5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5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45"/>
    <w:bookmarkStart w:id="49" w:name="inmode-10-авторитетный-файл"/>
    <w:p>
      <w:pPr>
        <w:pStyle w:val="Heading4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4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6"/>
        </w:numPr>
      </w:pPr>
      <w:r>
        <w:t xml:space="preserve">строка поиска;</w:t>
      </w:r>
    </w:p>
    <w:p>
      <w:pPr>
        <w:pStyle w:val="Compact"/>
        <w:numPr>
          <w:ilvl w:val="0"/>
          <w:numId w:val="1016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6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6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6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6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49"/>
    <w:bookmarkStart w:id="50" w:name="inmode-11-тезаурус"/>
    <w:p>
      <w:pPr>
        <w:pStyle w:val="Heading4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7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7"/>
        </w:numPr>
      </w:pPr>
      <w:r>
        <w:t xml:space="preserve">строка поиска;</w:t>
      </w:r>
    </w:p>
    <w:p>
      <w:pPr>
        <w:pStyle w:val="Compact"/>
        <w:numPr>
          <w:ilvl w:val="0"/>
          <w:numId w:val="1017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7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7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7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7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7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50"/>
    <w:bookmarkStart w:id="54" w:name="inmode-12-загрузка-локального-файла"/>
    <w:p>
      <w:pPr>
        <w:pStyle w:val="Heading4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5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8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8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8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8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54"/>
    <w:bookmarkStart w:id="58" w:name="inmode-15-динамический-справочник"/>
    <w:p>
      <w:pPr>
        <w:pStyle w:val="Heading4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5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9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19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19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19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58"/>
    <w:bookmarkStart w:id="59" w:name="inmode-16-выбор-файла-на-сервере"/>
    <w:p>
      <w:pPr>
        <w:pStyle w:val="Heading4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0"/>
        </w:numPr>
      </w:pPr>
      <w:r>
        <w:t xml:space="preserve">поле фильтра;</w:t>
      </w:r>
    </w:p>
    <w:p>
      <w:pPr>
        <w:pStyle w:val="Compact"/>
        <w:numPr>
          <w:ilvl w:val="0"/>
          <w:numId w:val="1020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0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0"/>
        </w:numPr>
      </w:pPr>
      <w:r>
        <w:t xml:space="preserve">тип элемента;</w:t>
      </w:r>
    </w:p>
    <w:p>
      <w:pPr>
        <w:pStyle w:val="Compact"/>
        <w:numPr>
          <w:ilvl w:val="0"/>
          <w:numId w:val="1020"/>
        </w:numPr>
      </w:pPr>
      <w:r>
        <w:t xml:space="preserve">имя;</w:t>
      </w:r>
    </w:p>
    <w:p>
      <w:pPr>
        <w:pStyle w:val="Compact"/>
        <w:numPr>
          <w:ilvl w:val="0"/>
          <w:numId w:val="1020"/>
        </w:numPr>
      </w:pPr>
      <w:r>
        <w:t xml:space="preserve">размер;</w:t>
      </w:r>
    </w:p>
    <w:p>
      <w:pPr>
        <w:pStyle w:val="Compact"/>
        <w:numPr>
          <w:ilvl w:val="0"/>
          <w:numId w:val="102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59"/>
    <w:bookmarkStart w:id="60" w:name="X3c50037a762c8a4cfa814bb075fd7698e211583"/>
    <w:p>
      <w:pPr>
        <w:pStyle w:val="Heading4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1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1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1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1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60"/>
    <w:bookmarkStart w:id="61" w:name="inmode-18-динамический-wss"/>
    <w:p>
      <w:pPr>
        <w:pStyle w:val="Heading4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2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2"/>
        </w:numPr>
      </w:pPr>
      <w:r>
        <w:t xml:space="preserve">код подполя;</w:t>
      </w:r>
    </w:p>
    <w:p>
      <w:pPr>
        <w:pStyle w:val="Compact"/>
        <w:numPr>
          <w:ilvl w:val="0"/>
          <w:numId w:val="1022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2"/>
        </w:numPr>
      </w:pPr>
      <w:r>
        <w:t xml:space="preserve">значение;</w:t>
      </w:r>
    </w:p>
    <w:p>
      <w:pPr>
        <w:pStyle w:val="Compact"/>
        <w:numPr>
          <w:ilvl w:val="0"/>
          <w:numId w:val="1022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2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61"/>
    <w:bookmarkStart w:id="65" w:name="inmode-20-ввод-на-основе-ai"/>
    <w:p>
      <w:pPr>
        <w:pStyle w:val="Heading4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63" name="Picture"/>
            <a:graphic>
              <a:graphicData uri="http://schemas.openxmlformats.org/drawingml/2006/picture">
                <pic:pic>
                  <pic:nvPicPr>
                    <pic:cNvPr descr="modules/he3/Help/img/he3-inmode-ai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3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3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3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3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3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3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65"/>
    <w:bookmarkEnd w:id="66"/>
    <w:bookmarkEnd w:id="67"/>
    <w:bookmarkStart w:id="73" w:name="api-модуля-he3"/>
    <w:p>
      <w:pPr>
        <w:pStyle w:val="Heading2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68" w:name="открытие"/>
    <w:p>
      <w:pPr>
        <w:pStyle w:val="Heading3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68"/>
    <w:bookmarkStart w:id="69" w:name="схема-и-черновики"/>
    <w:p>
      <w:pPr>
        <w:pStyle w:val="Heading3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69"/>
    <w:bookmarkStart w:id="70" w:name="проверка-и-просмотр"/>
    <w:p>
      <w:pPr>
        <w:pStyle w:val="Heading3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70"/>
    <w:bookmarkStart w:id="71" w:name="справочники-и-специализированный-ввод"/>
    <w:p>
      <w:pPr>
        <w:pStyle w:val="Heading3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71"/>
    <w:bookmarkStart w:id="72" w:name="версионность-черновика"/>
    <w:p>
      <w:pPr>
        <w:pStyle w:val="Heading3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72"/>
    <w:bookmarkEnd w:id="73"/>
    <w:bookmarkStart w:id="81" w:name="текущие-ограничения-реализации"/>
    <w:p>
      <w:pPr>
        <w:pStyle w:val="Heading2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74" w:name="открытие-и-выбор-рабочего-листа"/>
    <w:p>
      <w:pPr>
        <w:pStyle w:val="Heading3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74"/>
    <w:bookmarkStart w:id="75" w:name="api-first"/>
    <w:p>
      <w:pPr>
        <w:pStyle w:val="Heading3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75"/>
    <w:bookmarkStart w:id="76" w:name="дельты-изменений"/>
    <w:p>
      <w:pPr>
        <w:pStyle w:val="Heading3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76"/>
    <w:bookmarkStart w:id="77" w:name="клиентская-валидация-ws"/>
    <w:p>
      <w:pPr>
        <w:pStyle w:val="Heading3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77"/>
    <w:bookmarkStart w:id="78" w:name="плагины-и-пользовательские-inmode"/>
    <w:p>
      <w:pPr>
        <w:pStyle w:val="Heading3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78"/>
    <w:bookmarkStart w:id="79" w:name="локализация"/>
    <w:p>
      <w:pPr>
        <w:pStyle w:val="Heading3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79"/>
    <w:bookmarkStart w:id="80" w:name="скриншоты-в-этом-разделе-help"/>
    <w:p>
      <w:pPr>
        <w:pStyle w:val="Heading3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80"/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2" Target="media/rId62.png" /><Relationship Type="http://schemas.openxmlformats.org/officeDocument/2006/relationships/image" Id="rId46" Target="media/rId46.png" /><Relationship Type="http://schemas.openxmlformats.org/officeDocument/2006/relationships/image" Id="rId27" Target="media/rId27.png" /><Relationship Type="http://schemas.openxmlformats.org/officeDocument/2006/relationships/image" Id="rId55" Target="media/rId55.png" /><Relationship Type="http://schemas.openxmlformats.org/officeDocument/2006/relationships/image" Id="rId51" Target="media/rId51.png" /><Relationship Type="http://schemas.openxmlformats.org/officeDocument/2006/relationships/image" Id="rId22" Target="media/rId22.png" /><Relationship Type="http://schemas.openxmlformats.org/officeDocument/2006/relationships/image" Id="rId41" Target="media/rId41.png" /><Relationship Type="http://schemas.openxmlformats.org/officeDocument/2006/relationships/image" Id="rId35" Target="media/rId35.png" /><Relationship Type="http://schemas.openxmlformats.org/officeDocument/2006/relationships/image" Id="rId31" Target="media/rId3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2026-10-10T05:31:54Z</dcterms:created>
  <dcterms:modified xsi:type="dcterms:W3CDTF">2026-10-10T05:31:54Z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