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26.png" ContentType="image/png"/>
  <Override PartName="/word/media/rId11.png" ContentType="image/png"/>
  <Override PartName="/word/media/rId48.png" ContentType="image/png"/>
  <Override PartName="/word/media/rId44.png" ContentType="image/png"/>
  <Override PartName="/word/media/rId39.png" ContentType="image/png"/>
  <Override PartName="/word/media/rId22.png" ContentType="image/png"/>
  <Override PartName="/word/media/rId34.png" ContentType="image/png"/>
  <Override PartName="/word/media/rId31.png" ContentType="image/png"/>
  <Override PartName="/word/media/rId19.png" ContentType="image/png"/>
  <Override PartName="/word/media/rId51.png" ContentType="image/png"/>
  <Override PartName="/word/media/rId16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Основные режимы работы Клиентского Администратора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5" w:name="X57e72a0273273df99f4e4f08a24729dcde6aa4b"/>
    <w:p>
      <w:pPr>
        <w:pStyle w:val="Heading1"/>
      </w:pPr>
      <w:r>
        <w:t xml:space="preserve">Основные режимы работы Клиентского Администратора</w:t>
      </w:r>
    </w:p>
    <w:p>
      <w:pPr>
        <w:pStyle w:val="FirstParagraph"/>
      </w:pPr>
      <w:r>
        <w:t xml:space="preserve">Режимы работы АРМа «Администратор-клиент» аналогичны режимам работы АРМа</w:t>
      </w:r>
      <w:r>
        <w:t xml:space="preserve"> </w:t>
      </w:r>
      <w:r>
        <w:t xml:space="preserve">“Администратор-Серверный”</w:t>
      </w:r>
      <w:r>
        <w:t xml:space="preserve"> </w:t>
      </w:r>
      <w:r>
        <w:t xml:space="preserve">и распределены по следующим пунктам главного меню:</w:t>
      </w:r>
    </w:p>
    <w:p>
      <w:pPr>
        <w:pStyle w:val="Compact"/>
        <w:numPr>
          <w:ilvl w:val="0"/>
          <w:numId w:val="1001"/>
        </w:numPr>
      </w:pPr>
      <w:r>
        <w:t xml:space="preserve">Режимы БАЗА ДАННЫХ - включает некоторые режимы АРМа</w:t>
      </w:r>
      <w:r>
        <w:t xml:space="preserve"> </w:t>
      </w:r>
      <w:r>
        <w:t xml:space="preserve">“Администратор-Серверный”</w:t>
      </w:r>
      <w:r>
        <w:t xml:space="preserve">, связанные с выбором и установкой текущей БД и некоторыми операциями над базой данных в целом.</w:t>
      </w:r>
    </w:p>
    <w:p>
      <w:pPr>
        <w:pStyle w:val="Compact"/>
        <w:numPr>
          <w:ilvl w:val="0"/>
          <w:numId w:val="1001"/>
        </w:numPr>
      </w:pPr>
      <w:r>
        <w:t xml:space="preserve">Режимы СЕРВЕР (только в клиентском варианте) – включает режимы для запуска диспетчерских утилит сервера.</w:t>
      </w:r>
    </w:p>
    <w:p>
      <w:pPr>
        <w:pStyle w:val="Compact"/>
        <w:numPr>
          <w:ilvl w:val="0"/>
          <w:numId w:val="1001"/>
        </w:numPr>
      </w:pPr>
      <w:r>
        <w:t xml:space="preserve">Режимы АКТУАЛИЗАЦИЯ - включает режимы, обеспечивающие актуализацию и реорганизацию основных файлов базы данных.</w:t>
      </w:r>
    </w:p>
    <w:p>
      <w:pPr>
        <w:pStyle w:val="Compact"/>
        <w:numPr>
          <w:ilvl w:val="0"/>
          <w:numId w:val="1001"/>
        </w:numPr>
      </w:pPr>
      <w:r>
        <w:t xml:space="preserve">Режимы СЕРВИС - включает режимы архивации и восстановления базы данных, диагностики и выполнения пакетных заданий.</w:t>
      </w:r>
    </w:p>
    <w:p>
      <w:pPr>
        <w:pStyle w:val="Compact"/>
        <w:numPr>
          <w:ilvl w:val="0"/>
          <w:numId w:val="1001"/>
        </w:numPr>
      </w:pPr>
      <w:r>
        <w:t xml:space="preserve">Режимы ОПЦИИ - включает вспомогательные режимы.</w:t>
      </w:r>
    </w:p>
    <w:p>
      <w:pPr>
        <w:pStyle w:val="Compact"/>
        <w:numPr>
          <w:ilvl w:val="0"/>
          <w:numId w:val="1001"/>
        </w:numPr>
      </w:pPr>
      <w:r>
        <w:t xml:space="preserve">Режимы ИНСТРУМЕНТЫ - включает режимы запуска инструментальных средств системы.</w:t>
      </w:r>
    </w:p>
    <w:p>
      <w:pPr>
        <w:pStyle w:val="Compact"/>
        <w:numPr>
          <w:ilvl w:val="0"/>
          <w:numId w:val="1001"/>
        </w:numPr>
      </w:pPr>
      <w:r>
        <w:t xml:space="preserve">Режимы ПОМОЩЬ - включает вызов системы помощи.</w:t>
      </w:r>
    </w:p>
    <w:p>
      <w:pPr>
        <w:pStyle w:val="Compact"/>
        <w:numPr>
          <w:ilvl w:val="0"/>
          <w:numId w:val="1001"/>
        </w:numPr>
      </w:pPr>
      <w:r>
        <w:t xml:space="preserve">Режим АКТУАЛИЗАЦИЯ-СОЗДАТЬ СЛОВАРЬ ЗАНОВО-ПОЛНОСТЬЮ ТОЛЬКО ЭК</w:t>
      </w:r>
    </w:p>
    <w:bookmarkStart w:id="15" w:name="режимы-база-данных"/>
    <w:p>
      <w:pPr>
        <w:pStyle w:val="Heading2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2"/>
        </w:numPr>
      </w:pPr>
      <w:r>
        <w:t xml:space="preserve">ОТКРЫТЬ режим</w:t>
      </w:r>
    </w:p>
    <w:p>
      <w:pPr>
        <w:pStyle w:val="Compact"/>
        <w:numPr>
          <w:ilvl w:val="0"/>
          <w:numId w:val="1002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2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2"/>
        </w:numPr>
      </w:pPr>
      <w:r>
        <w:t xml:space="preserve">УДАЛИТЬ режим</w:t>
      </w:r>
    </w:p>
    <w:p>
      <w:pPr>
        <w:pStyle w:val="Compact"/>
        <w:numPr>
          <w:ilvl w:val="0"/>
          <w:numId w:val="1002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2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3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3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3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3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4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4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4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4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bookmarkStart w:id="25" w:name="режимы-сервер"/>
    <w:p>
      <w:pPr>
        <w:pStyle w:val="Heading2"/>
      </w:pPr>
      <w:r>
        <w:t xml:space="preserve">Режимы СЕРВЕР</w:t>
      </w:r>
    </w:p>
    <w:p>
      <w:pPr>
        <w:pStyle w:val="FirstParagraph"/>
      </w:pPr>
      <w:r>
        <w:t xml:space="preserve">Режимы СЕРВЕР (присутствуют только в клиентском варианте) – включает режимы для запуска диспетчерских утилит сервера:</w:t>
      </w:r>
      <w:r>
        <w:t xml:space="preserve"> </w:t>
      </w:r>
      <w:r>
        <w:t xml:space="preserve">* Клиентов для доступа к Серверу (Список)</w:t>
      </w:r>
      <w:r>
        <w:t xml:space="preserve"> </w:t>
      </w:r>
      <w:r>
        <w:t xml:space="preserve">* Зарегистрированных клиентов (Список)</w:t>
      </w:r>
      <w:r>
        <w:t xml:space="preserve"> </w:t>
      </w:r>
      <w:r>
        <w:t xml:space="preserve">* Запущенных процессов (Список)</w:t>
      </w:r>
      <w:r>
        <w:t xml:space="preserve"> </w:t>
      </w:r>
      <w:r>
        <w:t xml:space="preserve">* Режим Version вызывает форму со сведениями установленных параметров текущей версии программы.</w:t>
      </w:r>
    </w:p>
    <w:p>
      <w:pPr>
        <w:pStyle w:val="CaptionedFigure"/>
      </w:pPr>
      <w:r>
        <w:drawing>
          <wp:inline>
            <wp:extent cx="3762375" cy="1114425"/>
            <wp:effectExtent b="0" l="0" r="0" t="0"/>
            <wp:docPr descr="Рисунок 1 - Режим Version" title="Режим Version" id="17" name="Picture"/>
            <a:graphic>
              <a:graphicData uri="http://schemas.openxmlformats.org/drawingml/2006/picture">
                <pic:pic>
                  <pic:nvPicPr>
                    <pic:cNvPr descr="modules/Help/Help/Admin64Client/images/vers_a_cl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762375" cy="11144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Version</w:t>
      </w:r>
    </w:p>
    <w:p>
      <w:pPr>
        <w:pStyle w:val="Compact"/>
        <w:numPr>
          <w:ilvl w:val="0"/>
          <w:numId w:val="1005"/>
        </w:numPr>
      </w:pPr>
      <w:r>
        <w:t xml:space="preserve">Режим Перезапустить перестартует TCP/IP Сервер БД ИРБИС64 и выдает сообщения:</w:t>
      </w:r>
    </w:p>
    <w:p>
      <w:pPr>
        <w:pStyle w:val="CaptionedFigure"/>
      </w:pPr>
      <w:r>
        <w:drawing>
          <wp:inline>
            <wp:extent cx="2447925" cy="2867025"/>
            <wp:effectExtent b="0" l="0" r="0" t="0"/>
            <wp:docPr descr="Рисунок 2 - Окно управления сервером" title="Окно управления сервером" id="20" name="Picture"/>
            <a:graphic>
              <a:graphicData uri="http://schemas.openxmlformats.org/drawingml/2006/picture">
                <pic:pic>
                  <pic:nvPicPr>
                    <pic:cNvPr descr="modules/Help/Help/Admin64Client/images/tcp_cl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47925" cy="2867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управления сервером</w:t>
      </w:r>
    </w:p>
    <w:p>
      <w:pPr>
        <w:pStyle w:val="CaptionedFigure"/>
      </w:pPr>
      <w:r>
        <w:drawing>
          <wp:inline>
            <wp:extent cx="2590800" cy="1304925"/>
            <wp:effectExtent b="0" l="0" r="0" t="0"/>
            <wp:docPr descr="Рисунок 3 - Сообщение об успешном перезапуске сервера" title="Сообщение об успешном перезапуске сервера" id="23" name="Picture"/>
            <a:graphic>
              <a:graphicData uri="http://schemas.openxmlformats.org/drawingml/2006/picture">
                <pic:pic>
                  <pic:nvPicPr>
                    <pic:cNvPr descr="modules/Help/Help/Admin64Client/images/servperest_cl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590800" cy="1304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Сообщение об успешном перезапуске сервера</w:t>
      </w:r>
    </w:p>
    <w:bookmarkEnd w:id="25"/>
    <w:bookmarkStart w:id="38" w:name="режимы-актуализация"/>
    <w:p>
      <w:pPr>
        <w:pStyle w:val="Heading2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7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28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37" w:name="режим-создать-словарь-заново"/>
    <w:p>
      <w:pPr>
        <w:pStyle w:val="Heading3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29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30" name="Picture"/>
                    <pic:cNvPicPr>
                      <a:picLocks noChangeArrowheads="1" noChangeAspect="1"/>
                    </pic:cNvPicPr>
                  </pic:nvPicPr>
                  <pic:blipFill>
                    <a:blip r:embed="rId2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32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33" name="Picture"/>
                    <pic:cNvPicPr>
                      <a:picLocks noChangeArrowheads="1" noChangeAspect="1"/>
                    </pic:cNvPicPr>
                  </pic:nvPicPr>
                  <pic:blipFill>
                    <a:blip r:embed="rId3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3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36" name="Picture"/>
                    <pic:cNvPicPr>
                      <a:picLocks noChangeArrowheads="1" noChangeAspect="1"/>
                    </pic:cNvPicPr>
                  </pic:nvPicPr>
                  <pic:blipFill>
                    <a:blip r:embed="rId3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37"/>
    <w:bookmarkEnd w:id="38"/>
    <w:bookmarkStart w:id="43" w:name="меню-сервис"/>
    <w:p>
      <w:pPr>
        <w:pStyle w:val="Heading2"/>
      </w:pPr>
      <w:r>
        <w:t xml:space="preserve">Меню СЕРВИС</w:t>
      </w:r>
    </w:p>
    <w:p>
      <w:pPr>
        <w:pStyle w:val="CaptionedFigure"/>
      </w:pPr>
      <w:r>
        <w:drawing>
          <wp:inline>
            <wp:extent cx="2114550" cy="1076325"/>
            <wp:effectExtent b="0" l="0" r="0" t="0"/>
            <wp:docPr descr="Рисунок 1 - Меню СЕРВИС" title="Меню СЕРВИС" id="4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_cl.png" id="41" name="Picture"/>
                    <pic:cNvPicPr>
                      <a:picLocks noChangeArrowheads="1" noChangeAspect="1"/>
                    </pic:cNvPicPr>
                  </pic:nvPicPr>
                  <pic:blipFill>
                    <a:blip r:embed="rId3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14550" cy="10763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Меню СЕРВИС</w:t>
      </w:r>
    </w:p>
    <w:p>
      <w:pPr>
        <w:pStyle w:val="BodyText"/>
      </w:pPr>
      <w:r>
        <w:t xml:space="preserve">Режимы</w:t>
      </w:r>
      <w:r>
        <w:t xml:space="preserve"> </w:t>
      </w:r>
      <w:r>
        <w:t xml:space="preserve">* СПИСОК УДАЛЕННЫХ</w:t>
      </w:r>
      <w:r>
        <w:t xml:space="preserve"> </w:t>
      </w:r>
      <w:r>
        <w:t xml:space="preserve">* СПИСОК НЕАКТУАЛИЗИРОВАННЫХ</w:t>
      </w:r>
      <w:r>
        <w:t xml:space="preserve"> </w:t>
      </w:r>
      <w:r>
        <w:t xml:space="preserve">* СПИСОК ЗАБЛОКИРОВАННЫХ и</w:t>
      </w:r>
      <w:r>
        <w:t xml:space="preserve"> </w:t>
      </w:r>
      <w:r>
        <w:t xml:space="preserve">* ВЫПОЛНИТЬ ПАКЕТНОЕ ЗАДАНИЕ</w:t>
      </w:r>
    </w:p>
    <w:p>
      <w:pPr>
        <w:pStyle w:val="BodyText"/>
      </w:pPr>
      <w:r>
        <w:t xml:space="preserve">аналогичны одноименным режимам в АРМе Администратор-Серверный.</w:t>
      </w:r>
    </w:p>
    <w:bookmarkStart w:id="42" w:name="файл-пакетного-задания-арм-администратор"/>
    <w:p>
      <w:pPr>
        <w:pStyle w:val="Heading3"/>
      </w:pPr>
      <w:r>
        <w:t xml:space="preserve">Файл пакетного задания АРМ Администратор</w:t>
      </w:r>
    </w:p>
    <w:p>
      <w:pPr>
        <w:pStyle w:val="FirstParagraph"/>
      </w:pPr>
      <w:r>
        <w:t xml:space="preserve">Пакетное задание представляет собой текстовый файл, содержащийсписок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NormalTok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команд для пакетных заданий АРМа Администратор-Серверный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"/>
        <w:gridCol w:w="458"/>
        <w:gridCol w:w="78"/>
        <w:gridCol w:w="5047"/>
        <w:gridCol w:w="464"/>
        <w:gridCol w:w="1856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н/п</w:t>
            </w:r>
          </w:p>
        </w:tc>
        <w:tc>
          <w:tcPr/>
          <w:p>
            <w:pPr>
              <w:pStyle w:val="Compact"/>
            </w:pPr>
            <w:r>
              <w:t xml:space="preserve">Назначение команды</w:t>
            </w:r>
          </w:p>
        </w:tc>
        <w:tc>
          <w:tcPr/>
          <w:p>
            <w:pPr>
              <w:pStyle w:val="Compact"/>
            </w:pPr>
            <w:r>
              <w:t xml:space="preserve">Оператор</w:t>
            </w:r>
          </w:p>
        </w:tc>
        <w:tc>
          <w:tcPr/>
          <w:p>
            <w:pPr>
              <w:pStyle w:val="Compact"/>
            </w:pPr>
            <w:r>
              <w:t xml:space="preserve">Операнды</w:t>
            </w:r>
          </w:p>
        </w:tc>
        <w:tc>
          <w:tcPr/>
          <w:p>
            <w:pPr>
              <w:pStyle w:val="Compact"/>
            </w:pPr>
            <w:r>
              <w:t xml:space="preserve">Пример</w:t>
            </w:r>
          </w:p>
        </w:tc>
        <w:tc>
          <w:tcPr/>
          <w:p>
            <w:pPr>
              <w:pStyle w:val="Compact"/>
            </w:pPr>
            <w:r>
              <w:t xml:space="preserve">Примечания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</w:t>
            </w:r>
          </w:p>
        </w:tc>
        <w:tc>
          <w:tcPr/>
          <w:p>
            <w:pPr>
              <w:pStyle w:val="Compact"/>
            </w:pPr>
            <w:r>
              <w:t xml:space="preserve">Открыть базу данных</w:t>
            </w:r>
          </w:p>
        </w:tc>
        <w:tc>
          <w:tcPr/>
          <w:p>
            <w:pPr>
              <w:pStyle w:val="Compact"/>
            </w:pPr>
            <w:r>
              <w:t xml:space="preserve">OpenDB</w:t>
            </w:r>
          </w:p>
        </w:tc>
        <w:tc>
          <w:tcPr/>
          <w:p>
            <w:pPr>
              <w:pStyle w:val="Compact"/>
            </w:pPr>
            <w:r>
              <w:t xml:space="preserve">Dbname</w:t>
            </w:r>
          </w:p>
        </w:tc>
        <w:tc>
          <w:tcPr/>
          <w:p>
            <w:pPr>
              <w:pStyle w:val="Compact"/>
            </w:pPr>
            <w:r>
              <w:t xml:space="preserve">OpenDB RDR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2</w:t>
            </w:r>
          </w:p>
        </w:tc>
        <w:tc>
          <w:tcPr/>
          <w:p>
            <w:pPr>
              <w:pStyle w:val="Compact"/>
            </w:pPr>
            <w:r>
              <w:t xml:space="preserve">Создать новую БД</w:t>
            </w:r>
          </w:p>
        </w:tc>
        <w:tc>
          <w:tcPr/>
          <w:p>
            <w:pPr>
              <w:pStyle w:val="Compact"/>
            </w:pPr>
            <w:r>
              <w:t xml:space="preserve">NewDB</w:t>
            </w:r>
          </w:p>
        </w:tc>
        <w:tc>
          <w:tcPr/>
          <w:p>
            <w:pPr>
              <w:pStyle w:val="Compact"/>
            </w:pPr>
            <w:r>
              <w:t xml:space="preserve">Dbname,FullName,[0|1], [0|1], где:</w:t>
            </w:r>
          </w:p>
        </w:tc>
        <w:tc>
          <w:tcPr/>
          <w:p>
            <w:pPr>
              <w:pStyle w:val="Compact"/>
            </w:pPr>
            <w:r>
              <w:t xml:space="preserve">NewDB TEST,Тестовая,0,0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3</w:t>
            </w:r>
          </w:p>
        </w:tc>
        <w:tc>
          <w:tcPr/>
          <w:p>
            <w:pPr>
              <w:pStyle w:val="Compact"/>
            </w:pPr>
            <w:r>
              <w:t xml:space="preserve">Опустошить БД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ClearDB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4</w:t>
            </w:r>
          </w:p>
        </w:tc>
        <w:tc>
          <w:tcPr/>
          <w:p>
            <w:pPr>
              <w:pStyle w:val="Compact"/>
            </w:pPr>
            <w:r>
              <w:t xml:space="preserve">Удалить БД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DeleteDB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5</w:t>
            </w:r>
          </w:p>
        </w:tc>
        <w:tc>
          <w:tcPr/>
          <w:p>
            <w:pPr>
              <w:pStyle w:val="Compact"/>
            </w:pPr>
            <w:r>
              <w:t xml:space="preserve">Закрыть БД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CloseDB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6</w:t>
            </w:r>
          </w:p>
        </w:tc>
        <w:tc>
          <w:tcPr/>
          <w:p>
            <w:pPr>
              <w:pStyle w:val="Compact"/>
            </w:pPr>
            <w:r>
              <w:t xml:space="preserve">Импорт данных</w:t>
            </w:r>
          </w:p>
        </w:tc>
        <w:tc>
          <w:tcPr/>
          <w:p>
            <w:pPr>
              <w:pStyle w:val="Compact"/>
            </w:pPr>
            <w:r>
              <w:t xml:space="preserve">ImportDB</w:t>
            </w:r>
          </w:p>
        </w:tc>
        <w:tc>
          <w:tcPr/>
          <w:p>
            <w:pPr>
              <w:pStyle w:val="Compact"/>
            </w:pPr>
            <w:r>
              <w:t xml:space="preserve">[0/#/@|1],FstName,[0|1],[0|1/2],FileName,[0|1], [0|1], [0|1], PftGblName где: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ImportDB 0,,0,1,c:\temp\11.iso,0,0,1,test</w:t>
            </w:r>
          </w:p>
        </w:tc>
        <w:tc>
          <w:tcPr/>
          <w:p>
            <w:pPr>
              <w:pStyle w:val="Compact"/>
            </w:pPr>
            <w:r>
              <w:t xml:space="preserve">*</w:t>
            </w:r>
          </w:p>
        </w:tc>
      </w:tr>
      <w:tr>
        <w:tc>
          <w:tcPr/>
          <w:p>
            <w:pPr>
              <w:pStyle w:val="Compact"/>
            </w:pPr>
            <w:r>
              <w:t xml:space="preserve">7</w:t>
            </w:r>
          </w:p>
        </w:tc>
        <w:tc>
          <w:tcPr/>
          <w:p>
            <w:pPr>
              <w:pStyle w:val="Compact"/>
            </w:pPr>
            <w:r>
              <w:t xml:space="preserve">Экспорт данных</w:t>
            </w:r>
          </w:p>
        </w:tc>
        <w:tc>
          <w:tcPr/>
          <w:p>
            <w:pPr>
              <w:pStyle w:val="Compact"/>
            </w:pPr>
            <w:r>
              <w:t xml:space="preserve">ExportDB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[0|1/mfnfrom/mfnto],FstName,[0/#/@|1|2],[0|1|2],FileName, где:</w:t>
            </w:r>
          </w:p>
        </w:tc>
        <w:tc>
          <w:tcPr/>
          <w:p>
            <w:pPr>
              <w:pStyle w:val="Compact"/>
            </w:pPr>
            <w:r>
              <w:t xml:space="preserve">ExportDB 1/21/500,UMARCEW,0,1,c:\temp\22.iso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8</w:t>
            </w:r>
          </w:p>
        </w:tc>
        <w:tc>
          <w:tcPr/>
          <w:p>
            <w:pPr>
              <w:pStyle w:val="Compact"/>
            </w:pPr>
            <w:r>
              <w:t xml:space="preserve">Копировать данные</w:t>
            </w:r>
          </w:p>
        </w:tc>
        <w:tc>
          <w:tcPr/>
          <w:p>
            <w:pPr>
              <w:pStyle w:val="Compact"/>
            </w:pPr>
            <w:r>
              <w:t xml:space="preserve">CopyDB</w:t>
            </w:r>
          </w:p>
        </w:tc>
        <w:tc>
          <w:tcPr/>
          <w:p>
            <w:pPr>
              <w:pStyle w:val="Compact"/>
            </w:pPr>
            <w:r>
              <w:t xml:space="preserve">[0|1/mfnfrom/mfnto],FstName,DbName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COPYDB 1/10/100,,BOOK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9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БД в целом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UnLockDB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10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записи</w:t>
            </w:r>
          </w:p>
        </w:tc>
        <w:tc>
          <w:tcPr/>
          <w:p>
            <w:pPr>
              <w:pStyle w:val="Compact"/>
            </w:pPr>
            <w:r>
              <w:t xml:space="preserve">UnLockRecord</w:t>
            </w:r>
          </w:p>
        </w:tc>
        <w:tc>
          <w:tcPr/>
          <w:p>
            <w:pPr>
              <w:pStyle w:val="Compact"/>
            </w:pPr>
            <w:r>
              <w:t xml:space="preserve">Mfn, где Mfn - номер документа</w:t>
            </w:r>
          </w:p>
        </w:tc>
        <w:tc>
          <w:tcPr/>
          <w:p>
            <w:pPr>
              <w:pStyle w:val="Compact"/>
            </w:pPr>
            <w:r>
              <w:t xml:space="preserve">UnLockRecord 255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11</w:t>
            </w:r>
          </w:p>
        </w:tc>
        <w:tc>
          <w:tcPr/>
          <w:p>
            <w:pPr>
              <w:pStyle w:val="Compact"/>
            </w:pPr>
            <w:r>
              <w:t xml:space="preserve">Снять блокировку со всех заблокированных записей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UnLockRecordAll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12</w:t>
            </w:r>
          </w:p>
        </w:tc>
        <w:tc>
          <w:tcPr/>
          <w:p>
            <w:pPr>
              <w:pStyle w:val="Compact"/>
            </w:pPr>
            <w:r>
              <w:t xml:space="preserve">Актуализировать словарь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ActualIf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13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полностью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LoadIfComplete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14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отбор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LoadIf0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15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сортировка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LoadIf1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16</w:t>
            </w:r>
          </w:p>
        </w:tc>
        <w:tc>
          <w:tcPr/>
          <w:p>
            <w:pPr>
              <w:pStyle w:val="Compact"/>
            </w:pPr>
            <w:r>
              <w:t xml:space="preserve">Создать словарь заново - только загрузка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LoadIf2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17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словарь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ReorgIf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18</w:t>
            </w:r>
          </w:p>
        </w:tc>
        <w:tc>
          <w:tcPr/>
          <w:p>
            <w:pPr>
              <w:pStyle w:val="Compact"/>
            </w:pPr>
            <w:r>
              <w:t xml:space="preserve">Реорганизовать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ReorgMf</w:t>
            </w:r>
          </w:p>
        </w:tc>
        <w:tc>
          <w:tcPr/>
          <w:p>
            <w:pPr>
              <w:pStyle w:val="Compact"/>
            </w:pPr>
          </w:p>
        </w:tc>
      </w:tr>
      <w:tr>
        <w:tc>
          <w:tcPr/>
          <w:p>
            <w:pPr>
              <w:pStyle w:val="Compact"/>
            </w:pPr>
            <w:r>
              <w:t xml:space="preserve">19</w:t>
            </w:r>
          </w:p>
        </w:tc>
        <w:tc>
          <w:tcPr/>
          <w:p>
            <w:pPr>
              <w:pStyle w:val="Compact"/>
            </w:pPr>
            <w:r>
              <w:t xml:space="preserve">Копировать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CopyMf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выходного файла</w:t>
            </w:r>
          </w:p>
        </w:tc>
        <w:tc>
          <w:tcPr/>
          <w:p>
            <w:pPr>
              <w:pStyle w:val="Compact"/>
            </w:pPr>
            <w:r>
              <w:t xml:space="preserve">CopyMf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20</w:t>
            </w:r>
          </w:p>
        </w:tc>
        <w:tc>
          <w:tcPr/>
          <w:p>
            <w:pPr>
              <w:pStyle w:val="Compact"/>
            </w:pPr>
            <w:r>
              <w:t xml:space="preserve">Восстановить файл документов</w:t>
            </w:r>
          </w:p>
        </w:tc>
        <w:tc>
          <w:tcPr/>
          <w:p>
            <w:pPr>
              <w:pStyle w:val="Compact"/>
            </w:pPr>
            <w:r>
              <w:t xml:space="preserve">RestoreMf</w:t>
            </w:r>
          </w:p>
        </w:tc>
        <w:tc>
          <w:tcPr/>
          <w:p>
            <w:pPr>
              <w:pStyle w:val="Compact"/>
            </w:pPr>
            <w:r>
              <w:t xml:space="preserve">FileName, где: FileName - полное имя исходного файла</w:t>
            </w:r>
          </w:p>
        </w:tc>
        <w:tc>
          <w:tcPr/>
          <w:p>
            <w:pPr>
              <w:pStyle w:val="Compact"/>
            </w:pPr>
            <w:r>
              <w:t xml:space="preserve">RestoreMf c:\irbiswrk\ibis.bkp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21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документов</w:t>
            </w:r>
          </w:p>
        </w:tc>
        <w:tc>
          <w:tcPr/>
          <w:p>
            <w:pPr>
              <w:pStyle w:val="Compact"/>
            </w:pPr>
            <w:r>
              <w:t xml:space="preserve">DIAGNOSMF</w:t>
            </w:r>
          </w:p>
        </w:tc>
        <w:tc>
          <w:tcPr/>
          <w:p>
            <w:pPr>
              <w:pStyle w:val="Compact"/>
            </w:pPr>
            <w:r>
              <w:t xml:space="preserve">MfnFrom, MfnTo,[0|1],[0|1],[0|1],[0|1],[0|1]</w:t>
            </w:r>
          </w:p>
        </w:tc>
        <w:tc>
          <w:tcPr/>
          <w:p>
            <w:pPr>
              <w:pStyle w:val="Compact"/>
            </w:pP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 Параметры с четвертого по седьмой имеют смысл, если третий параметр принимает значение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22</w:t>
            </w:r>
          </w:p>
        </w:tc>
        <w:tc>
          <w:tcPr/>
          <w:p>
            <w:pPr>
              <w:pStyle w:val="Compact"/>
            </w:pPr>
            <w:r>
              <w:t xml:space="preserve">Диагностика файла словаря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DIAGNOSIF</w:t>
            </w:r>
          </w:p>
        </w:tc>
        <w:tc>
          <w:tcPr/>
          <w:p>
            <w:pPr>
              <w:pStyle w:val="Compact"/>
            </w:pPr>
            <w:r>
              <w:t xml:space="preserve">В Администраторе-клиент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23</w:t>
            </w:r>
          </w:p>
        </w:tc>
        <w:tc>
          <w:tcPr/>
          <w:p>
            <w:pPr>
              <w:pStyle w:val="Compact"/>
            </w:pPr>
            <w:r>
              <w:t xml:space="preserve">Установка режима игнорирования ошибок (см. Примеч.)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нет</w:t>
            </w:r>
          </w:p>
        </w:tc>
        <w:tc>
          <w:tcPr/>
          <w:p>
            <w:pPr>
              <w:pStyle w:val="Compact"/>
            </w:pPr>
            <w:r>
              <w:t xml:space="preserve">SILENCE</w:t>
            </w:r>
          </w:p>
        </w:tc>
        <w:tc>
          <w:tcPr/>
          <w:p>
            <w:pPr>
              <w:pStyle w:val="Compact"/>
            </w:pPr>
            <w:r>
              <w:t xml:space="preserve">Пакетное задание продолжает выполняться при ошибочном завершении очередной команды</w:t>
            </w:r>
          </w:p>
        </w:tc>
      </w:tr>
      <w:tr>
        <w:tc>
          <w:tcPr/>
          <w:p>
            <w:pPr>
              <w:pStyle w:val="Compact"/>
            </w:pPr>
            <w:r>
              <w:t xml:space="preserve">24</w:t>
            </w:r>
          </w:p>
        </w:tc>
        <w:tc>
          <w:tcPr/>
          <w:p>
            <w:pPr>
              <w:pStyle w:val="Compact"/>
            </w:pPr>
            <w:r>
              <w:t xml:space="preserve">Выполнить глобальную корректировку</w:t>
            </w:r>
          </w:p>
        </w:tc>
        <w:tc>
          <w:tcPr/>
          <w:p>
            <w:pPr>
              <w:pStyle w:val="Compact"/>
            </w:pPr>
            <w:r>
              <w:t xml:space="preserve">GLOBAL</w:t>
            </w:r>
          </w:p>
        </w:tc>
        <w:tc>
          <w:tcPr/>
          <w:p>
            <w:pPr>
              <w:pStyle w:val="Compact"/>
            </w:pPr>
            <w:r>
              <w:t xml:space="preserve">Gblname,mfnfrom,mfnto,[0|1],[0|1],[0|1],Filename,query</w:t>
            </w:r>
          </w:p>
        </w:tc>
        <w:tc>
          <w:tcPr/>
          <w:p>
            <w:pPr>
              <w:pStyle w:val="Compact"/>
            </w:pPr>
            <w:r>
              <w:t xml:space="preserve">GLOBAL C:\irbiswrk\test.gbl,,,0,0,0,C:\irbiswrk\111.txt,”K=автомат</w:t>
            </w:r>
            <w:r>
              <w:t xml:space="preserve">$”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25  | Установить интервал опроса состояния БД (в сек.)                                         | AUTOASK         | NN Интервал в секундах. Если задается 0 – опрос состояния БД не выполняется.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AUTOASK 0                                                                                 | параметр в INI-файл (irbisa.ini) AUTOASKINTERVAL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26  | Установить монопольную блокировку БД                                                     | LOCKDB          | нет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LOCKDB                                                                                    | В Администраторе-клиент команда не поддерживается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27  | Завершить работу АРМа «Администратор»                                                    | Exit            | FileName , где: FileName – путь и имя файла, куда выводится протокол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Exit c:\\irbiswrk\\protocol.txt                                                           |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
    | 28  | Выполнить поиск                                                                          | SEARCH          | SEXP_DIR, MFNFrom, MFNTО,SEXP_SEQ,JUMP&lt;ul&gt;&lt;li&gt;SEXP_DIR – поисковое выражение для прямого поиска на языке запросов ИРБИС (может быть пустым)&lt;li&gt;MFNFrom – начальное значение диапазона MFN для последовательного поиска (по умолчанию – 1)&lt;li&gt;MFNTo – конечное значение диапазона MFN для последовательного поиска (по умолчанию – максимальный MFN БД)&lt;li&gt;SEXP_SEQ – поисковое выражение для уточняющего последовательного поиска(может быть пустым)&lt;li&gt;JUMP – количество последующих пакетных команд, которые должны быть пропущены в случае нулевого результата поиска (по умолчанию – 0)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| SEARCH “K=противопожарн$</w:t>
            </w:r>
            <w:r>
              <w:t xml:space="preserve">” * “K=оборудован$”,,,p(v10),2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 Команда устанавливает контекст работы: РЕЗУЛЬТАТ ПОИСКА, т.е для последующих команд – таких как EXPORTDB, COPYDB, GLOBAL, PRINT, STAT,STATF – в качестве исходных документов будет использоваться результат поиска. Для того чтобы переключить контекст работы на БД ЦЕЛИКОМ, необходимо задать команду OPENDB</w:t>
            </w:r>
          </w:p>
        </w:tc>
      </w:tr>
      <w:tr>
        <w:tc>
          <w:tcPr/>
          <w:p>
            <w:pPr>
              <w:pStyle w:val="Compact"/>
            </w:pPr>
            <w:r>
              <w:t xml:space="preserve">29</w:t>
            </w:r>
          </w:p>
        </w:tc>
        <w:tc>
          <w:tcPr/>
          <w:p>
            <w:pPr>
              <w:pStyle w:val="Compact"/>
            </w:pPr>
            <w:r>
              <w:t xml:space="preserve">Вывести документы на печать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PRINT</w:t>
            </w:r>
          </w:p>
        </w:tc>
        <w:tc>
          <w:tcPr/>
          <w:p>
            <w:pPr>
              <w:pStyle w:val="Compact"/>
            </w:pPr>
            <w:r>
              <w:t xml:space="preserve">[0|1],FormName,mfnfrom,mfnto,header1/header2/header3,modefield,[0|1/FileName|2/E-mail/Subject]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PRINT 1,TABIUW,,,Заголовок 1/Заголовок 2/Заголовок 3,</w:t>
            </w:r>
            <w:r>
              <w:rPr>
                <w:vertAlign w:val="superscript"/>
              </w:rPr>
              <w:t xml:space="preserve">A2000/101</w:t>
            </w:r>
            <w:r>
              <w:t xml:space="preserve">BАБ,2/alio@gpntb.ru/Отчет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30</w:t>
            </w:r>
          </w:p>
        </w:tc>
        <w:tc>
          <w:tcPr/>
          <w:p>
            <w:pPr>
              <w:pStyle w:val="Compact"/>
            </w:pPr>
            <w:r>
              <w:t xml:space="preserve">Выполнить задание на статистику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</w:t>
            </w:r>
          </w:p>
        </w:tc>
        <w:tc>
          <w:tcPr/>
          <w:p>
            <w:pPr>
              <w:pStyle w:val="Compact"/>
            </w:pPr>
            <w:r>
              <w:t xml:space="preserve">StatList,mfnfrom,mfnto,[0|1/FileName|2/E-mail/Subject]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 900^C|”(v102/)”/3/200/2,,,1/c:\irbiswrk\stat.txt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поддерживается.</w:t>
            </w:r>
          </w:p>
        </w:tc>
      </w:tr>
      <w:tr>
        <w:tc>
          <w:tcPr/>
          <w:p>
            <w:pPr>
              <w:pStyle w:val="Compact"/>
            </w:pPr>
            <w:r>
              <w:t xml:space="preserve">31</w:t>
            </w:r>
          </w:p>
        </w:tc>
        <w:tc>
          <w:tcPr/>
          <w:p>
            <w:pPr>
              <w:pStyle w:val="Compact"/>
            </w:pPr>
            <w:r>
              <w:t xml:space="preserve">Создать выходную статистическую форму и вывести результат (на бумагу, в файл, на E-mail)</w:t>
            </w:r>
          </w:p>
        </w:tc>
        <w:tc>
          <w:tcPr/>
          <w:p>
            <w:pPr>
              <w:pStyle w:val="Compact"/>
            </w:pPr>
            <w:r>
              <w:t xml:space="preserve">STATF</w:t>
            </w:r>
          </w:p>
        </w:tc>
        <w:tc>
          <w:tcPr/>
          <w:p>
            <w:pPr>
              <w:pStyle w:val="Compact"/>
            </w:pPr>
            <w:r>
              <w:t xml:space="preserve">StatForm,modefield,mfnfrom,mfnto,[0|1/FileName|2/E-mail/Subject]</w:t>
            </w:r>
          </w:p>
        </w:tc>
        <w:tc>
          <w:tcPr/>
          <w:p>
            <w:pPr>
              <w:pStyle w:val="Compact"/>
            </w:pPr>
            <w:r>
              <w:t xml:space="preserve">STATF Form3,</w:t>
            </w:r>
            <w:r>
              <w:rPr>
                <w:vertAlign w:val="superscript"/>
              </w:rPr>
              <w:t xml:space="preserve">A20120101</w:t>
            </w:r>
            <w:r>
              <w:t xml:space="preserve">B20131231,,,0</w:t>
            </w:r>
          </w:p>
        </w:tc>
        <w:tc>
          <w:tcPr/>
          <w:p>
            <w:pPr>
              <w:pStyle w:val="Compact"/>
            </w:pPr>
            <w:r>
              <w:t xml:space="preserve">В серверном Администраторе команда не поддерживается</w:t>
            </w:r>
          </w:p>
        </w:tc>
      </w:tr>
    </w:tbl>
    <w:p>
      <w:pPr>
        <w:pStyle w:val="BodyText"/>
      </w:pPr>
      <w:r>
        <w:t xml:space="preserve">Следует отметить, что предлагаемый список пакетных команд для АРМа Администратор-клиент (с учетом таких команд, как SEARCH – поиск, PRINT – печать, STAT – статистика, STATF - стат.формы) превращает его по функциональности в ПАКЕТНЫЙ АРМ Каталогизатор.</w:t>
      </w:r>
    </w:p>
    <w:bookmarkEnd w:id="42"/>
    <w:bookmarkEnd w:id="43"/>
    <w:bookmarkStart w:id="47" w:name="режимы-опции"/>
    <w:p>
      <w:pPr>
        <w:pStyle w:val="Heading2"/>
      </w:pPr>
      <w:r>
        <w:t xml:space="preserve">Режимы ОПЦИИ</w:t>
      </w:r>
    </w:p>
    <w:p>
      <w:pPr>
        <w:pStyle w:val="FirstParagraph"/>
      </w:pPr>
      <w:r>
        <w:t xml:space="preserve">Пункт ОПЦИИ главного меню содержит единственный режим - АВТОМАТИЧЕСКИЙ ОПРОС, который служит для установки интервала времени, определяющего частоту автоматического обновления системных параметров в информационном окне. При значении интервала 0 автоматическое обновление параметров не производится.</w:t>
      </w:r>
    </w:p>
    <w:p>
      <w:pPr>
        <w:pStyle w:val="BodyText"/>
      </w:pPr>
      <w:r>
        <w:t xml:space="preserve">Режим аналогичен одноименному режиму АРМа Администратор-Серверный.</w:t>
      </w:r>
    </w:p>
    <w:p>
      <w:pPr>
        <w:pStyle w:val="CaptionedFigure"/>
      </w:pPr>
      <w:r>
        <w:drawing>
          <wp:inline>
            <wp:extent cx="2266950" cy="1343025"/>
            <wp:effectExtent b="0" l="0" r="0" t="0"/>
            <wp:docPr descr="Рисунок 1 - Режимы ОПЦИИ" title="Режимы ОПЦИИ" id="45" name="Picture"/>
            <a:graphic>
              <a:graphicData uri="http://schemas.openxmlformats.org/drawingml/2006/picture">
                <pic:pic>
                  <pic:nvPicPr>
                    <pic:cNvPr descr="modules/Help/Help/Admin64Client/images/rejopcii_a_sr.png" id="46" name="Picture"/>
                    <pic:cNvPicPr>
                      <a:picLocks noChangeArrowheads="1" noChangeAspect="1"/>
                    </pic:cNvPicPr>
                  </pic:nvPicPr>
                  <pic:blipFill>
                    <a:blip r:embed="rId4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266950" cy="13430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ОПЦИИ</w:t>
      </w:r>
    </w:p>
    <w:bookmarkEnd w:id="47"/>
    <w:bookmarkStart w:id="54" w:name="режимы-инструменты"/>
    <w:p>
      <w:pPr>
        <w:pStyle w:val="Heading2"/>
      </w:pPr>
      <w:r>
        <w:t xml:space="preserve">Режимы ИНСТРУМЕНТЫ</w:t>
      </w:r>
    </w:p>
    <w:p>
      <w:pPr>
        <w:pStyle w:val="FirstParagraph"/>
      </w:pPr>
      <w:r>
        <w:t xml:space="preserve">Пункт ИНСТРУМЕНТЫ главного меню содержит режимы, служащие для запуска основных инструментальных средств системы, аналогичных одноименным режимам АРМа Администратор-Сервер:</w:t>
      </w:r>
    </w:p>
    <w:p>
      <w:pPr>
        <w:pStyle w:val="CaptionedFigure"/>
      </w:pPr>
      <w:r>
        <w:drawing>
          <wp:inline>
            <wp:extent cx="2790825" cy="657225"/>
            <wp:effectExtent b="0" l="0" r="0" t="0"/>
            <wp:docPr descr="Рисунок 1 - Режимы ИНСТРУМЕНТЫ" title="Режимы ИНСТРУМЕНТЫ" id="49" name="Picture"/>
            <a:graphic>
              <a:graphicData uri="http://schemas.openxmlformats.org/drawingml/2006/picture">
                <pic:pic>
                  <pic:nvPicPr>
                    <pic:cNvPr descr="modules/Help/Help/Admin64Client/images/rejinstr_a_cl.png" id="50" name="Picture"/>
                    <pic:cNvPicPr>
                      <a:picLocks noChangeArrowheads="1" noChangeAspect="1"/>
                    </pic:cNvPicPr>
                  </pic:nvPicPr>
                  <pic:blipFill>
                    <a:blip r:embed="rId48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790825" cy="6572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Режимы ИНСТРУМЕНТЫ</w:t>
      </w:r>
    </w:p>
    <w:p>
      <w:pPr>
        <w:pStyle w:val="BodyText"/>
      </w:pPr>
      <w:r>
        <w:t xml:space="preserve">Редактор РЛ и справочников - запуск редактора, предназначенного для корректировки/создания экранных форм ввода (рабочих листов полей и подполей), простых (неиерархических) справочников и таблиц переформатирования (ТВП).</w:t>
      </w:r>
    </w:p>
    <w:p>
      <w:pPr>
        <w:pStyle w:val="BodyText"/>
      </w:pPr>
      <w:r>
        <w:t xml:space="preserve">Редактор иерархических справочников - запуск редактора, предназначенного для корректировки/создания иерархических справочников (</w:t>
      </w:r>
      <w:r>
        <w:rPr>
          <w:rStyle w:val="VerbatimChar"/>
        </w:rPr>
        <w:t xml:space="preserve">.TRE</w:t>
      </w:r>
      <w:r>
        <w:t xml:space="preserve">). Такой справочник используется для вложенных рубрикаторов, классификаторов и других деревьев значений, где важен порядок уровней и подчиненность элементов.</w:t>
      </w:r>
    </w:p>
    <w:p>
      <w:pPr>
        <w:pStyle w:val="CaptionedFigure"/>
      </w:pPr>
      <w:r>
        <w:drawing>
          <wp:inline>
            <wp:extent cx="5153025" cy="2762250"/>
            <wp:effectExtent b="0" l="0" r="0" t="0"/>
            <wp:docPr descr="Рисунок 2 - Редактор иерархических справочников" title="Редактор иерархических справочников" id="52" name="Picture"/>
            <a:graphic>
              <a:graphicData uri="http://schemas.openxmlformats.org/drawingml/2006/picture">
                <pic:pic>
                  <pic:nvPicPr>
                    <pic:cNvPr descr="modules/Help/Help/Admin64Client/images/tree_dictionary_editor.png" id="53" name="Picture"/>
                    <pic:cNvPicPr>
                      <a:picLocks noChangeArrowheads="1" noChangeAspect="1"/>
                    </pic:cNvPicPr>
                  </pic:nvPicPr>
                  <pic:blipFill>
                    <a:blip r:embed="rId5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53025" cy="276225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Редактор иерархических справочников</w:t>
      </w:r>
    </w:p>
    <w:p>
      <w:pPr>
        <w:pStyle w:val="BodyText"/>
      </w:pPr>
      <w:r>
        <w:t xml:space="preserve">Редактор INI-файлов и сценариев поиска - запуск редактора, предназначенного для корректировки/создания INI-файлов и сценариев поиска в БД.</w:t>
      </w:r>
    </w:p>
    <w:bookmarkEnd w:id="54"/>
    <w:bookmarkEnd w:id="5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26" Target="media/rId26.png" /><Relationship Type="http://schemas.openxmlformats.org/officeDocument/2006/relationships/image" Id="rId11" Target="media/rId11.png" /><Relationship Type="http://schemas.openxmlformats.org/officeDocument/2006/relationships/image" Id="rId48" Target="media/rId48.png" /><Relationship Type="http://schemas.openxmlformats.org/officeDocument/2006/relationships/image" Id="rId44" Target="media/rId44.png" /><Relationship Type="http://schemas.openxmlformats.org/officeDocument/2006/relationships/image" Id="rId39" Target="media/rId39.png" /><Relationship Type="http://schemas.openxmlformats.org/officeDocument/2006/relationships/image" Id="rId22" Target="media/rId22.png" /><Relationship Type="http://schemas.openxmlformats.org/officeDocument/2006/relationships/image" Id="rId34" Target="media/rId34.png" /><Relationship Type="http://schemas.openxmlformats.org/officeDocument/2006/relationships/image" Id="rId31" Target="media/rId31.png" /><Relationship Type="http://schemas.openxmlformats.org/officeDocument/2006/relationships/image" Id="rId19" Target="media/rId19.png" /><Relationship Type="http://schemas.openxmlformats.org/officeDocument/2006/relationships/image" Id="rId51" Target="media/rId51.png" /><Relationship Type="http://schemas.openxmlformats.org/officeDocument/2006/relationships/image" Id="rId16" Target="media/rId16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Основные режимы работы Клиентского Администратора</dc:title>
  <dc:creator/>
  <cp:keywords/>
  <dcterms:created xsi:type="dcterms:W3CDTF">2026-10-08T06:31:35Z</dcterms:created>
  <dcterms:modified xsi:type="dcterms:W3CDTF">2026-10-08T06:31:35Z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