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2.png" ContentType="image/png"/>
  <Override PartName="/word/media/rId46.png" ContentType="image/png"/>
  <Override PartName="/word/media/rId27.png" ContentType="image/png"/>
  <Override PartName="/word/media/rId55.png" ContentType="image/png"/>
  <Override PartName="/word/media/rId51.png" ContentType="image/png"/>
  <Override PartName="/word/media/rId22.png" ContentType="image/png"/>
  <Override PartName="/word/media/rId41.png" ContentType="image/png"/>
  <Override PartName="/word/media/rId35.png" ContentType="image/png"/>
  <Override PartName="/word/media/rId3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Администратор управляет he3 через профиль Каталогизатора, рабочие листы WS/WSS, файлы меню и настройки методов ввода. Модуль не требует отдельного описания полей в</w:t>
      </w:r>
      <w:r>
        <w:t xml:space="preserve"> </w:t>
      </w:r>
      <w:r>
        <w:rPr>
          <w:rStyle w:val="VerbatimChar"/>
        </w:rPr>
        <w:t xml:space="preserve">.field</w:t>
      </w:r>
      <w:r>
        <w:t xml:space="preserve">: основная схема строится из рабочих листов ИРБИС.</w:t>
      </w:r>
    </w:p>
    <w:bookmarkStart w:id="9" w:name="что-настраивается"/>
    <w:p>
      <w:pPr>
        <w:pStyle w:val="Heading2"/>
      </w:pPr>
      <w:r>
        <w:t xml:space="preserve">1. Что настраивается</w:t>
      </w:r>
    </w:p>
    <w:p>
      <w:pPr>
        <w:pStyle w:val="Compact"/>
        <w:numPr>
          <w:ilvl w:val="0"/>
          <w:numId w:val="1001"/>
        </w:numPr>
      </w:pPr>
      <w:r>
        <w:t xml:space="preserve">В профиле Каталогизатора выбирается тип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базы поддерживаются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сложных полей указываются вложенные рабочие листы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полей задаются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подсказки, повторяемость и признак служебного поля.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поддерживается общий список полей, которые можно добавить в запись из окна «Добавление полей».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модуль или поставка может зарегистрировать дополнительный виджет через API he3.</w:t>
      </w:r>
    </w:p>
    <w:bookmarkEnd w:id="9"/>
    <w:bookmarkStart w:id="10" w:name="черновики"/>
    <w:p>
      <w:pPr>
        <w:pStyle w:val="Heading2"/>
      </w:pPr>
      <w:r>
        <w:t xml:space="preserve">2. Черновики</w:t>
      </w:r>
    </w:p>
    <w:p>
      <w:pPr>
        <w:pStyle w:val="FirstParagraph"/>
      </w:pPr>
      <w:r>
        <w:t xml:space="preserve">При первом обращении к сервису черновиков модуль создает SQLite-базу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 </w:t>
      </w:r>
      <w:r>
        <w:t xml:space="preserve">и таблицу</w:t>
      </w:r>
      <w:r>
        <w:t xml:space="preserve"> </w:t>
      </w:r>
      <w:r>
        <w:rPr>
          <w:rStyle w:val="VerbatimChar"/>
        </w:rPr>
        <w:t xml:space="preserve">drafts</w:t>
      </w:r>
      <w:r>
        <w:t xml:space="preserve">. Черновик содержит идентификатор, имя базы, MFN, JSON-данные записи, версию и время обновления. Черновики старше суток удаляются при создании нового черновика.</w:t>
      </w:r>
    </w:p>
    <w:bookmarkEnd w:id="10"/>
    <w:bookmarkStart w:id="11" w:name="плагины-виджетов"/>
    <w:p>
      <w:pPr>
        <w:pStyle w:val="Heading2"/>
      </w:pPr>
      <w:r>
        <w:t xml:space="preserve">3. Плагины виджетов</w:t>
      </w:r>
    </w:p>
    <w:p>
      <w:pPr>
        <w:pStyle w:val="FirstParagraph"/>
      </w:pPr>
      <w:r>
        <w:t xml:space="preserve">В модуле есть PHP API регистрации виджета: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'he3'</w:t>
      </w:r>
      <w:r>
        <w:rPr>
          <w:rStyle w:val="NormalTok"/>
        </w:rPr>
        <w:t xml:space="preserve">)-&gt;RegisterWidgetPlugin(</w:t>
      </w:r>
      <w:r>
        <w:rPr>
          <w:rStyle w:val="DecValTok"/>
        </w:rPr>
        <w:t xml:space="preserve">128001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'wysiwyg'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После регистрации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сможет сопоставить указанный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с именем виджета. На клиентской стороне должен быть зарегистрирован одноименный обработчик через</w:t>
      </w:r>
      <w:r>
        <w:t xml:space="preserve"> </w:t>
      </w:r>
      <w:r>
        <w:rPr>
          <w:rStyle w:val="VerbatimChar"/>
        </w:rPr>
        <w:t xml:space="preserve">Irbis.he3.WidgetRegistry.register</w:t>
      </w:r>
      <w:r>
        <w:t xml:space="preserve">. Готовый внешний WYSIWYG-виджет в стандартном комплекте не описан; пример выше показывает механизм, а не наличие конкретного виджета.</w:t>
      </w:r>
    </w:p>
    <w:bookmarkEnd w:id="11"/>
    <w:bookmarkStart w:id="12" w:name="выбор-рабочего-листа-редактора"/>
    <w:p>
      <w:pPr>
        <w:pStyle w:val="Heading2"/>
      </w:pPr>
      <w:r>
        <w:t xml:space="preserve">4. Выбор рабочего листа редактора</w:t>
      </w:r>
    </w:p>
    <w:p>
      <w:pPr>
        <w:pStyle w:val="FirstParagraph"/>
      </w:pPr>
      <w:r>
        <w:t xml:space="preserve">Если при открытии редактора явно передан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открывает указанный рабочий лист. Если параметр не передан, редактор использует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общий для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t xml:space="preserve">Для существующей записи рабочий лист определяется по типу записи. Поле типа берется из параметра</w:t>
      </w:r>
      <w:r>
        <w:t xml:space="preserve"> </w:t>
      </w:r>
      <w:r>
        <w:rPr>
          <w:rStyle w:val="VerbatimChar"/>
        </w:rPr>
        <w:t xml:space="preserve">MAIN/TAGVID</w:t>
      </w:r>
      <w:r>
        <w:t xml:space="preserve"> </w:t>
      </w:r>
      <w:r>
        <w:t xml:space="preserve">INI-файла базы, по умолчанию это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Полученное значение сопоставляется через OPT-файл из параметра</w:t>
      </w:r>
      <w:r>
        <w:t xml:space="preserve"> </w:t>
      </w:r>
      <w:r>
        <w:rPr>
          <w:rStyle w:val="VerbatimChar"/>
        </w:rPr>
        <w:t xml:space="preserve">MAIN/WSOPT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. Например, если в записи указано</w:t>
      </w:r>
      <w:r>
        <w:t xml:space="preserve"> </w:t>
      </w:r>
      <w:r>
        <w:rPr>
          <w:rStyle w:val="VerbatimChar"/>
        </w:rPr>
        <w:t xml:space="preserve">920=NJ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есть соответствие</w:t>
      </w:r>
      <w:r>
        <w:t xml:space="preserve"> </w:t>
      </w:r>
      <w:r>
        <w:rPr>
          <w:rStyle w:val="VerbatimChar"/>
        </w:rPr>
        <w:t xml:space="preserve">NJ -&gt; !NJ31</w:t>
      </w:r>
      <w:r>
        <w:t xml:space="preserve">, редактор откроет рабочий лист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</w:p>
    <w:p>
      <w:pPr>
        <w:pStyle w:val="BodyText"/>
      </w:pPr>
      <w:r>
        <w:t xml:space="preserve">Если соответствие не найдено, используется рабочий лист по умолчанию из</w:t>
      </w:r>
      <w:r>
        <w:t xml:space="preserve"> </w:t>
      </w:r>
      <w:r>
        <w:rPr>
          <w:rStyle w:val="VerbatimChar"/>
        </w:rPr>
        <w:t xml:space="preserve">MAIN/WSFDT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MAIN/WSSFDT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. Для новой записи без типа редактор берет значение по умолчанию для поля</w:t>
      </w:r>
      <w:r>
        <w:t xml:space="preserve"> </w:t>
      </w:r>
      <w:r>
        <w:rPr>
          <w:rStyle w:val="VerbatimChar"/>
        </w:rPr>
        <w:t xml:space="preserve">TAGVID</w:t>
      </w:r>
      <w:r>
        <w:t xml:space="preserve"> </w:t>
      </w:r>
      <w:r>
        <w:t xml:space="preserve">из рабочего листа по умолчанию и также пытается сопоставить его через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</w:p>
    <w:p>
      <w:pPr>
        <w:pStyle w:val="BodyText"/>
      </w:pPr>
      <w:r>
        <w:t xml:space="preserve">На верхней панели редактора доступно поле «Рабочий лист». Список берется из MNU-файла, указанного в</w:t>
      </w:r>
      <w:r>
        <w:t xml:space="preserve"> </w:t>
      </w:r>
      <w:r>
        <w:rPr>
          <w:rStyle w:val="VerbatimChar"/>
        </w:rPr>
        <w:t xml:space="preserve">MAIN/FmtMnu</w:t>
      </w:r>
      <w:r>
        <w:t xml:space="preserve">; если параметр не задан, используется</w:t>
      </w:r>
      <w:r>
        <w:t xml:space="preserve"> </w:t>
      </w:r>
      <w:r>
        <w:rPr>
          <w:rStyle w:val="VerbatimChar"/>
        </w:rPr>
        <w:t xml:space="preserve">FMT31.MNU</w:t>
      </w:r>
      <w:r>
        <w:t xml:space="preserve">. При ручном выборе редактор перестраивает вкладки по выбранному рабочему листу и продолжает работать с тем же серверным черновиком записи.</w:t>
      </w:r>
    </w:p>
    <w:p>
      <w:pPr>
        <w:pStyle w:val="BodyText"/>
      </w:pPr>
      <w:r>
        <w:t xml:space="preserve">Подробные разделы:</w:t>
      </w:r>
    </w:p>
    <w:bookmarkEnd w:id="12"/>
    <w:bookmarkStart w:id="18" w:name="настройка-ws-wss-и-default.ws"/>
    <w:p>
      <w:pPr>
        <w:pStyle w:val="Heading2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13" w:name="основной-рабочий-лист-ws"/>
    <w:p>
      <w:pPr>
        <w:pStyle w:val="Heading3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2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подсказку;</w:t>
      </w:r>
    </w:p>
    <w:p>
      <w:pPr>
        <w:pStyle w:val="Compact"/>
        <w:numPr>
          <w:ilvl w:val="0"/>
          <w:numId w:val="1002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13"/>
    <w:bookmarkStart w:id="14" w:name="вложенные-рабочие-листы-wss"/>
    <w:p>
      <w:pPr>
        <w:pStyle w:val="Heading3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4"/>
    <w:bookmarkStart w:id="15" w:name="default.ws"/>
    <w:p>
      <w:pPr>
        <w:pStyle w:val="Heading3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3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3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3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5"/>
    <w:bookmarkStart w:id="16" w:name="служебные-поля"/>
    <w:p>
      <w:pPr>
        <w:pStyle w:val="Heading3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4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6"/>
    <w:bookmarkStart w:id="17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5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5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5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5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ФЛК и предпросмотр работают на черновике.</w:t>
      </w:r>
    </w:p>
    <w:bookmarkEnd w:id="17"/>
    <w:bookmarkEnd w:id="18"/>
    <w:bookmarkStart w:id="67" w:name="настройка-inmode-и-виджетов"/>
    <w:p>
      <w:pPr>
        <w:pStyle w:val="Heading2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19" w:name="карта-методов"/>
    <w:p>
      <w:pPr>
        <w:pStyle w:val="Heading3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19"/>
    <w:bookmarkStart w:id="20" w:name="требования-к-dopinf"/>
    <w:p>
      <w:pPr>
        <w:pStyle w:val="Heading3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6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6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20"/>
    <w:bookmarkStart w:id="21" w:name="пользовательские-виджеты"/>
    <w:p>
      <w:pPr>
        <w:pStyle w:val="Heading3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7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7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21"/>
    <w:bookmarkStart w:id="66" w:name="средства-ввода"/>
    <w:p>
      <w:pPr>
        <w:pStyle w:val="Heading3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2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25" w:name="общие-элементы"/>
    <w:p>
      <w:pPr>
        <w:pStyle w:val="Heading4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8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8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8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8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8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9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9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9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9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9"/>
        </w:numPr>
      </w:pPr>
      <w:r>
        <w:t xml:space="preserve">подсказки и горячие клавиши стандартного редактора.</w:t>
      </w:r>
    </w:p>
    <w:bookmarkEnd w:id="25"/>
    <w:bookmarkStart w:id="26" w:name="X3c94d163a6dfcd834bae781a506dd77905b63a6"/>
    <w:p>
      <w:pPr>
        <w:pStyle w:val="Heading4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26"/>
    <w:bookmarkStart w:id="30" w:name="inmode-1-и-2-справочник-или-словарь"/>
    <w:p>
      <w:pPr>
        <w:pStyle w:val="Heading4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2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0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0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0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0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30"/>
    <w:bookmarkStart w:id="34" w:name="inmode-3-грнти"/>
    <w:p>
      <w:pPr>
        <w:pStyle w:val="Heading4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3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поиска;</w:t>
      </w:r>
    </w:p>
    <w:p>
      <w:pPr>
        <w:pStyle w:val="Compact"/>
        <w:numPr>
          <w:ilvl w:val="0"/>
          <w:numId w:val="1011"/>
        </w:numPr>
      </w:pPr>
      <w:r>
        <w:t xml:space="preserve">дерево рубрик;</w:t>
      </w:r>
    </w:p>
    <w:p>
      <w:pPr>
        <w:pStyle w:val="Compact"/>
        <w:numPr>
          <w:ilvl w:val="0"/>
          <w:numId w:val="1011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1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34"/>
    <w:bookmarkStart w:id="38" w:name="inmode-4-и-8-многострочный-ввод"/>
    <w:p>
      <w:pPr>
        <w:pStyle w:val="Heading4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3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2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2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2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38"/>
    <w:bookmarkStart w:id="39" w:name="inmode-5-и-wss-вложенные-подполя"/>
    <w:p>
      <w:pPr>
        <w:pStyle w:val="Heading4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3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3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3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3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39"/>
    <w:bookmarkStart w:id="40" w:name="inmode-6-иерархический-справочник"/>
    <w:p>
      <w:pPr>
        <w:pStyle w:val="Heading4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40"/>
    <w:bookmarkStart w:id="44" w:name="inmode-7-радиокнопки"/>
    <w:p>
      <w:pPr>
        <w:pStyle w:val="Heading4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4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радиогруппа;</w:t>
      </w:r>
    </w:p>
    <w:p>
      <w:pPr>
        <w:pStyle w:val="Compact"/>
        <w:numPr>
          <w:ilvl w:val="0"/>
          <w:numId w:val="1014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4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4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44"/>
    <w:bookmarkStart w:id="45" w:name="inmode-9-маска"/>
    <w:p>
      <w:pPr>
        <w:pStyle w:val="Heading4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5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5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5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45"/>
    <w:bookmarkStart w:id="49" w:name="inmode-10-авторитетный-файл"/>
    <w:p>
      <w:pPr>
        <w:pStyle w:val="Heading4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4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6"/>
        </w:numPr>
      </w:pPr>
      <w:r>
        <w:t xml:space="preserve">строка поиска;</w:t>
      </w:r>
    </w:p>
    <w:p>
      <w:pPr>
        <w:pStyle w:val="Compact"/>
        <w:numPr>
          <w:ilvl w:val="0"/>
          <w:numId w:val="1016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6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6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6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6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49"/>
    <w:bookmarkStart w:id="50" w:name="inmode-11-тезаурус"/>
    <w:p>
      <w:pPr>
        <w:pStyle w:val="Heading4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7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7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7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7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7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50"/>
    <w:bookmarkStart w:id="54" w:name="inmode-12-загрузка-локального-файла"/>
    <w:p>
      <w:pPr>
        <w:pStyle w:val="Heading4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5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8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8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8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8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54"/>
    <w:bookmarkStart w:id="58" w:name="inmode-15-динамический-справочник"/>
    <w:p>
      <w:pPr>
        <w:pStyle w:val="Heading4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5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9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9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9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9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58"/>
    <w:bookmarkStart w:id="59" w:name="inmode-16-выбор-файла-на-сервере"/>
    <w:p>
      <w:pPr>
        <w:pStyle w:val="Heading4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0"/>
        </w:numPr>
      </w:pPr>
      <w:r>
        <w:t xml:space="preserve">поле фильтра;</w:t>
      </w:r>
    </w:p>
    <w:p>
      <w:pPr>
        <w:pStyle w:val="Compact"/>
        <w:numPr>
          <w:ilvl w:val="0"/>
          <w:numId w:val="1020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0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0"/>
        </w:numPr>
      </w:pPr>
      <w:r>
        <w:t xml:space="preserve">тип элемента;</w:t>
      </w:r>
    </w:p>
    <w:p>
      <w:pPr>
        <w:pStyle w:val="Compact"/>
        <w:numPr>
          <w:ilvl w:val="0"/>
          <w:numId w:val="1020"/>
        </w:numPr>
      </w:pPr>
      <w:r>
        <w:t xml:space="preserve">имя;</w:t>
      </w:r>
    </w:p>
    <w:p>
      <w:pPr>
        <w:pStyle w:val="Compact"/>
        <w:numPr>
          <w:ilvl w:val="0"/>
          <w:numId w:val="1020"/>
        </w:numPr>
      </w:pPr>
      <w:r>
        <w:t xml:space="preserve">размер;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59"/>
    <w:bookmarkStart w:id="60" w:name="X3c50037a762c8a4cfa814bb075fd7698e211583"/>
    <w:p>
      <w:pPr>
        <w:pStyle w:val="Heading4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1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1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1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1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60"/>
    <w:bookmarkStart w:id="61" w:name="inmode-18-динамический-wss"/>
    <w:p>
      <w:pPr>
        <w:pStyle w:val="Heading4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2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2"/>
        </w:numPr>
      </w:pPr>
      <w:r>
        <w:t xml:space="preserve">код подполя;</w:t>
      </w:r>
    </w:p>
    <w:p>
      <w:pPr>
        <w:pStyle w:val="Compact"/>
        <w:numPr>
          <w:ilvl w:val="0"/>
          <w:numId w:val="1022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2"/>
        </w:numPr>
      </w:pPr>
      <w:r>
        <w:t xml:space="preserve">значение;</w:t>
      </w:r>
    </w:p>
    <w:p>
      <w:pPr>
        <w:pStyle w:val="Compact"/>
        <w:numPr>
          <w:ilvl w:val="0"/>
          <w:numId w:val="1022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2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61"/>
    <w:bookmarkStart w:id="65" w:name="inmode-20-ввод-на-основе-ai"/>
    <w:p>
      <w:pPr>
        <w:pStyle w:val="Heading4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63" name="Picture"/>
            <a:graphic>
              <a:graphicData uri="http://schemas.openxmlformats.org/drawingml/2006/picture">
                <pic:pic>
                  <pic:nvPicPr>
                    <pic:cNvPr descr="modules/he3/Help/img/he3-inmode-ai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3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3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3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3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3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65"/>
    <w:bookmarkEnd w:id="66"/>
    <w:bookmarkEnd w:id="67"/>
    <w:bookmarkStart w:id="73" w:name="api-модуля-he3"/>
    <w:p>
      <w:pPr>
        <w:pStyle w:val="Heading2"/>
      </w:pPr>
      <w:r>
        <w:t xml:space="preserve">API модуля he3</w:t>
      </w:r>
    </w:p>
    <w:p>
      <w:pPr>
        <w:pStyle w:val="FirstParagraph"/>
      </w:pPr>
      <w:r>
        <w:t xml:space="preserve">Большинство рабочих действий he3 вызывается как action модуля WIrbis. Ответы рабочих endpoints возвращаются в конверте</w:t>
      </w:r>
      <w:r>
        <w:t xml:space="preserve"> </w:t>
      </w:r>
      <w:r>
        <w:rPr>
          <w:rStyle w:val="VerbatimChar"/>
        </w:rPr>
        <w:t xml:space="preserve">ApiResponse</w:t>
      </w:r>
      <w:r>
        <w:t xml:space="preserve"> </w:t>
      </w:r>
      <w:r>
        <w:t xml:space="preserve">с признаками</w:t>
      </w:r>
      <w:r>
        <w:t xml:space="preserve"> </w:t>
      </w:r>
      <w:r>
        <w:rPr>
          <w:rStyle w:val="VerbatimChar"/>
        </w:rPr>
        <w:t xml:space="preserve">success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</w:t>
      </w:r>
      <w:r>
        <w:t xml:space="preserve">.</w:t>
      </w:r>
    </w:p>
    <w:bookmarkStart w:id="68" w:name="открытие"/>
    <w:p>
      <w:pPr>
        <w:pStyle w:val="Heading3"/>
      </w:pPr>
      <w:r>
        <w:t xml:space="preserve">1. Открытие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he3/Show</w:t>
            </w:r>
          </w:p>
        </w:tc>
        <w:tc>
          <w:tcPr/>
          <w:p>
            <w:pPr>
              <w:pStyle w:val="Compact"/>
            </w:pPr>
            <w:r>
              <w:t xml:space="preserve">Самостоятельная HTML-страница редактора.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</w:t>
            </w:r>
          </w:p>
        </w:tc>
        <w:tc>
          <w:tcPr/>
          <w:p>
            <w:pPr>
              <w:pStyle w:val="Compact"/>
            </w:pPr>
            <w:r>
              <w:t xml:space="preserve">JS-действие для открытия модального окна редактора по MFN или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he3/GetSidEditorNew</w:t>
            </w:r>
          </w:p>
        </w:tc>
        <w:tc>
          <w:tcPr/>
          <w:p>
            <w:pPr>
              <w:pStyle w:val="Compact"/>
            </w:pPr>
            <w:r>
              <w:t xml:space="preserve">Открытие новой записи; сбрасывает MFN/SID и вызывает</w:t>
            </w:r>
            <w:r>
              <w:t xml:space="preserve"> </w:t>
            </w:r>
            <w:r>
              <w:rPr>
                <w:rStyle w:val="VerbatimChar"/>
              </w:rPr>
              <w:t xml:space="preserve">GetSidEditor</w:t>
            </w:r>
            <w:r>
              <w:t xml:space="preserve">.</w:t>
            </w:r>
          </w:p>
        </w:tc>
      </w:tr>
    </w:tbl>
    <w:bookmarkEnd w:id="68"/>
    <w:bookmarkStart w:id="69" w:name="схема-и-черновики"/>
    <w:p>
      <w:pPr>
        <w:pStyle w:val="Heading3"/>
      </w:pPr>
      <w:r>
        <w:t xml:space="preserve">2. Схема и черновики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he3/GetSchema</w:t>
            </w:r>
          </w:p>
        </w:tc>
        <w:tc>
          <w:tcPr/>
          <w:p>
            <w:pPr>
              <w:pStyle w:val="Compact"/>
            </w:pPr>
            <w:r>
              <w:t xml:space="preserve">Возвращает схему WS/WSS,</w:t>
            </w:r>
            <w:r>
              <w:t xml:space="preserve"> </w:t>
            </w:r>
            <w:r>
              <w:rPr>
                <w:rStyle w:val="VerbatimChar"/>
              </w:rPr>
              <w:t xml:space="preserve">defaultFields</w:t>
            </w:r>
            <w:r>
              <w:t xml:space="preserve"> </w:t>
            </w:r>
            <w:r>
              <w:t xml:space="preserve">и вкладку «Добавочные».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he3/InitDraft</w:t>
            </w:r>
          </w:p>
        </w:tc>
        <w:tc>
          <w:tcPr/>
          <w:p>
            <w:pPr>
              <w:pStyle w:val="Compact"/>
            </w:pPr>
            <w:r>
              <w:t xml:space="preserve">Создает серверный черновик.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he3/GetDraft</w:t>
            </w:r>
          </w:p>
        </w:tc>
        <w:tc>
          <w:tcPr/>
          <w:p>
            <w:pPr>
              <w:pStyle w:val="Compact"/>
            </w:pPr>
            <w:r>
              <w:t xml:space="preserve">Читает черновик по</w:t>
            </w:r>
            <w:r>
              <w:t xml:space="preserve"> </w:t>
            </w:r>
            <w:r>
              <w:rPr>
                <w:rStyle w:val="VerbatimChar"/>
              </w:rPr>
              <w:t xml:space="preserve">draftId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he3/UpdateDraft</w:t>
            </w:r>
          </w:p>
        </w:tc>
        <w:tc>
          <w:tcPr/>
          <w:p>
            <w:pPr>
              <w:pStyle w:val="Compact"/>
            </w:pPr>
            <w:r>
              <w:t xml:space="preserve">Обновляет черновик и проверяет версию.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he3/CommitDraft</w:t>
            </w:r>
          </w:p>
        </w:tc>
        <w:tc>
          <w:tcPr/>
          <w:p>
            <w:pPr>
              <w:pStyle w:val="Compact"/>
            </w:pPr>
            <w:r>
              <w:t xml:space="preserve">Сохраняет черновик в основную базу.</w:t>
            </w:r>
          </w:p>
        </w:tc>
      </w:tr>
    </w:tbl>
    <w:bookmarkEnd w:id="69"/>
    <w:bookmarkStart w:id="70" w:name="проверка-и-просмотр"/>
    <w:p>
      <w:pPr>
        <w:pStyle w:val="Heading3"/>
      </w:pPr>
      <w:r>
        <w:t xml:space="preserve">3. Проверка и просмотр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he3/PreviewDraft</w:t>
            </w:r>
          </w:p>
        </w:tc>
        <w:tc>
          <w:tcPr/>
          <w:p>
            <w:pPr>
              <w:pStyle w:val="Compact"/>
            </w:pPr>
            <w:r>
              <w:t xml:space="preserve">Форматирует черновик выбранным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he3/ValidateDraft</w:t>
            </w:r>
          </w:p>
        </w:tc>
        <w:tc>
          <w:tcPr/>
          <w:p>
            <w:pPr>
              <w:pStyle w:val="Compact"/>
            </w:pPr>
            <w:r>
              <w:t xml:space="preserve">Выполняет серверную ФЛК по черновику.</w:t>
            </w:r>
          </w:p>
        </w:tc>
      </w:tr>
    </w:tbl>
    <w:bookmarkEnd w:id="70"/>
    <w:bookmarkStart w:id="71" w:name="справочники-и-специализированный-ввод"/>
    <w:p>
      <w:pPr>
        <w:pStyle w:val="Heading3"/>
      </w:pPr>
      <w:r>
        <w:t xml:space="preserve">4. Справочники и специализированный ввод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Action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he3/GetDictionary</w:t>
            </w:r>
          </w:p>
        </w:tc>
        <w:tc>
          <w:tcPr/>
          <w:p>
            <w:pPr>
              <w:pStyle w:val="Compact"/>
            </w:pPr>
            <w:r>
              <w:t xml:space="preserve">Меню, словари и узлы деревьев.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he3/GetAuthority</w:t>
            </w:r>
          </w:p>
        </w:tc>
        <w:tc>
          <w:tcPr/>
          <w:p>
            <w:pPr>
              <w:pStyle w:val="Compact"/>
            </w:pPr>
            <w:r>
              <w:t xml:space="preserve">Поиск и выбор авторитетных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he3/GetThesaurus</w:t>
            </w:r>
          </w:p>
        </w:tc>
        <w:tc>
          <w:tcPr/>
          <w:p>
            <w:pPr>
              <w:pStyle w:val="Compact"/>
            </w:pPr>
            <w:r>
              <w:t xml:space="preserve">Тезаурус: фрагмент, дерево, полный список, путь.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he3/GetServerFiles</w:t>
            </w:r>
          </w:p>
        </w:tc>
        <w:tc>
          <w:tcPr/>
          <w:p>
            <w:pPr>
              <w:pStyle w:val="Compact"/>
            </w:pPr>
            <w:r>
              <w:t xml:space="preserve">Список или чтение серверных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he3/UploadFile</w:t>
            </w:r>
          </w:p>
        </w:tc>
        <w:tc>
          <w:tcPr/>
          <w:p>
            <w:pPr>
              <w:pStyle w:val="Compact"/>
            </w:pPr>
            <w:r>
              <w:t xml:space="preserve">Загрузка локального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he3/EvaluateDynInput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динамического метода ввода через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he3/EvaluateDynWss</w:t>
            </w:r>
          </w:p>
        </w:tc>
        <w:tc>
          <w:tcPr/>
          <w:p>
            <w:pPr>
              <w:pStyle w:val="Compact"/>
            </w:pPr>
            <w:r>
              <w:t xml:space="preserve">Вычисление динамической структуры подполей.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he3/GenerateAiPrompt</w:t>
            </w:r>
          </w:p>
        </w:tc>
        <w:tc>
          <w:tcPr/>
          <w:p>
            <w:pPr>
              <w:pStyle w:val="Compact"/>
            </w:pPr>
            <w:r>
              <w:t xml:space="preserve">Подготовка prompt по черновику и PFT.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he3/AskAi</w:t>
            </w:r>
          </w:p>
        </w:tc>
        <w:tc>
          <w:tcPr/>
          <w:p>
            <w:pPr>
              <w:pStyle w:val="Compact"/>
            </w:pPr>
            <w:r>
              <w:t xml:space="preserve">Выполнение AI-запроса, если сервис настроен.</w:t>
            </w:r>
          </w:p>
        </w:tc>
      </w:tr>
    </w:tbl>
    <w:bookmarkEnd w:id="71"/>
    <w:bookmarkStart w:id="72" w:name="версионность-черновика"/>
    <w:p>
      <w:pPr>
        <w:pStyle w:val="Heading3"/>
      </w:pPr>
      <w:r>
        <w:t xml:space="preserve">5. Версионность черновика</w:t>
      </w:r>
    </w:p>
    <w:p>
      <w:pPr>
        <w:pStyle w:val="FirstParagraph"/>
      </w:pPr>
      <w:r>
        <w:rPr>
          <w:rStyle w:val="VerbatimChar"/>
        </w:rPr>
        <w:t xml:space="preserve">UpdateDraft</w:t>
      </w:r>
      <w:r>
        <w:t xml:space="preserve"> </w:t>
      </w:r>
      <w:r>
        <w:t xml:space="preserve">принимает текущую версию черновика. Если версия на сервере уже изменилась, endpoint возвращает ошибку конфликта. Это защищает от перезаписи данных из устаревшего окна редактора.</w:t>
      </w:r>
    </w:p>
    <w:p>
      <w:pPr>
        <w:pStyle w:val="BodyText"/>
      </w:pPr>
      <w:r>
        <w:t xml:space="preserve">Для WSS-схемы в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нужно передать</w:t>
      </w:r>
      <w:r>
        <w:t xml:space="preserve"> </w:t>
      </w:r>
      <w:r>
        <w:rPr>
          <w:rStyle w:val="VerbatimChar"/>
        </w:rPr>
        <w:t xml:space="preserve">schemaType=wss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 </w:t>
      </w:r>
      <w:r>
        <w:t xml:space="preserve">- номер поля записи, подполя которого описывает WSS. Сервер возвращает схему, привязанную к этому полю записи, а клиентский he3 показывает подполя WSS как строки основного экрана и сохраняет их обратно в</w:t>
      </w:r>
      <w:r>
        <w:t xml:space="preserve"> </w:t>
      </w:r>
      <w:r>
        <w:rPr>
          <w:rStyle w:val="VerbatimChar"/>
        </w:rPr>
        <w:t xml:space="preserve">recordFieldTag</w:t>
      </w:r>
      <w:r>
        <w:t xml:space="preserve">; вкладка «Добавочные» не добавляется.</w:t>
      </w:r>
    </w:p>
    <w:p>
      <w:pPr>
        <w:pStyle w:val="BodyText"/>
      </w:pPr>
      <w:r>
        <w:t xml:space="preserve">Для полей с</w:t>
      </w:r>
      <w:r>
        <w:t xml:space="preserve"> </w:t>
      </w:r>
      <w:r>
        <w:rPr>
          <w:rStyle w:val="VerbatimChar"/>
        </w:rPr>
        <w:t xml:space="preserve">InMode=7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может быть обычным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JSON-настройкой вида</w:t>
      </w:r>
      <w:r>
        <w:t xml:space="preserve"> </w:t>
      </w:r>
      <w:r>
        <w:rPr>
          <w:rStyle w:val="VerbatimChar"/>
        </w:rPr>
        <w:t xml:space="preserve">{"optionsSource":"Module:section"}</w:t>
      </w:r>
      <w:r>
        <w:t xml:space="preserve">. В этом случае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передает в указанный модуль контекст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projectObjectTypeKey</w:t>
      </w:r>
      <w:r>
        <w:t xml:space="preserve"> </w:t>
      </w:r>
      <w:r>
        <w:t xml:space="preserve">и получает варианты через</w:t>
      </w:r>
      <w:r>
        <w:t xml:space="preserve"> </w:t>
      </w:r>
      <w:r>
        <w:rPr>
          <w:rStyle w:val="VerbatimChar"/>
        </w:rPr>
        <w:t xml:space="preserve">GetWorkflowFilterOptions()</w:t>
      </w:r>
      <w:r>
        <w:t xml:space="preserve">. Остальные JSON-настройки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передаются источнику вариантов в</w:t>
      </w:r>
      <w:r>
        <w:t xml:space="preserve"> </w:t>
      </w:r>
      <w:r>
        <w:rPr>
          <w:rStyle w:val="VerbatimChar"/>
        </w:rPr>
        <w:t xml:space="preserve">settings</w:t>
      </w:r>
      <w:r>
        <w:t xml:space="preserve">.</w:t>
      </w:r>
    </w:p>
    <w:bookmarkEnd w:id="72"/>
    <w:bookmarkEnd w:id="73"/>
    <w:bookmarkStart w:id="81" w:name="текущие-ограничения-реализации"/>
    <w:p>
      <w:pPr>
        <w:pStyle w:val="Heading2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74" w:name="открытие-и-выбор-рабочего-листа"/>
    <w:p>
      <w:pPr>
        <w:pStyle w:val="Heading3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74"/>
    <w:bookmarkStart w:id="75" w:name="api-first"/>
    <w:p>
      <w:pPr>
        <w:pStyle w:val="Heading3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75"/>
    <w:bookmarkStart w:id="76" w:name="дельты-изменений"/>
    <w:p>
      <w:pPr>
        <w:pStyle w:val="Heading3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76"/>
    <w:bookmarkStart w:id="77" w:name="клиентская-валидация-ws"/>
    <w:p>
      <w:pPr>
        <w:pStyle w:val="Heading3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77"/>
    <w:bookmarkStart w:id="78" w:name="плагины-и-пользовательские-inmode"/>
    <w:p>
      <w:pPr>
        <w:pStyle w:val="Heading3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78"/>
    <w:bookmarkStart w:id="79" w:name="локализация"/>
    <w:p>
      <w:pPr>
        <w:pStyle w:val="Heading3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79"/>
    <w:bookmarkStart w:id="80" w:name="скриншоты-в-этом-разделе-help"/>
    <w:p>
      <w:pPr>
        <w:pStyle w:val="Heading3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80"/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2" Target="media/rId62.png" /><Relationship Type="http://schemas.openxmlformats.org/officeDocument/2006/relationships/image" Id="rId46" Target="media/rId46.png" /><Relationship Type="http://schemas.openxmlformats.org/officeDocument/2006/relationships/image" Id="rId27" Target="media/rId27.png" /><Relationship Type="http://schemas.openxmlformats.org/officeDocument/2006/relationships/image" Id="rId55" Target="media/rId55.png" /><Relationship Type="http://schemas.openxmlformats.org/officeDocument/2006/relationships/image" Id="rId51" Target="media/rId51.png" /><Relationship Type="http://schemas.openxmlformats.org/officeDocument/2006/relationships/image" Id="rId22" Target="media/rId22.png" /><Relationship Type="http://schemas.openxmlformats.org/officeDocument/2006/relationships/image" Id="rId41" Target="media/rId41.png" /><Relationship Type="http://schemas.openxmlformats.org/officeDocument/2006/relationships/image" Id="rId35" Target="media/rId35.png" /><Relationship Type="http://schemas.openxmlformats.org/officeDocument/2006/relationships/image" Id="rId31" Target="media/rId3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2026-10-09T20:58:01Z</dcterms:created>
  <dcterms:modified xsi:type="dcterms:W3CDTF">2026-10-09T20:58:01Z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