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Таблицы переформатирования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аблицы-переформатирования-fst"/>
    <w:p>
      <w:pPr>
        <w:pStyle w:val="Heading1"/>
      </w:pPr>
      <w:r>
        <w:t xml:space="preserve">Таблицы переформатирования FST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FST</w:t>
      </w:r>
      <w:r>
        <w:t xml:space="preserve"> </w:t>
      </w:r>
      <w:r>
        <w:t xml:space="preserve">загружает таблицы переформатирования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базы ИРБИС, кеширует их разобранное представление и применяет таблицу к записи.</w:t>
      </w:r>
    </w:p>
    <w:bookmarkStart w:id="11" w:name="назначение-модуля-fst"/>
    <w:p>
      <w:pPr>
        <w:pStyle w:val="Heading2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Таблицы переформатирования FST</dc:title>
  <dc:creator/>
  <cp:keywords/>
  <dcterms:created xsi:type="dcterms:W3CDTF">2026-10-09T21:08:52Z</dcterms:created>
  <dcterms:modified xsi:type="dcterms:W3CDTF">2026-10-09T21:08:52Z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