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Архитектура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рхитектура"/>
    <w:p>
      <w:pPr>
        <w:pStyle w:val="Heading1"/>
      </w:pPr>
      <w:r>
        <w:t xml:space="preserve">Архитектура</w:t>
      </w:r>
    </w:p>
    <w:p>
      <w:pPr>
        <w:pStyle w:val="CaptionedFigure"/>
      </w:pPr>
      <w:r>
        <w:drawing>
          <wp:inline>
            <wp:extent cx="5334000" cy="2865023"/>
            <wp:effectExtent b="0" l="0" r="0" t="0"/>
            <wp:docPr descr="Рисунок 1 - Трехзвенная архитектура системы" title="Трехзвенная архитектура системы" id="10" name="Picture"/>
            <a:graphic>
              <a:graphicData uri="http://schemas.openxmlformats.org/drawingml/2006/picture">
                <pic:pic>
                  <pic:nvPicPr>
                    <pic:cNvPr descr="modules/Help/Help/GeneralDescription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50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Трехзвенная архитектура системы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Архитектура</dc:title>
  <dc:creator/>
  <cp:keywords/>
  <dcterms:created xsi:type="dcterms:W3CDTF">2026-10-08T13:04:42Z</dcterms:created>
  <dcterms:modified xsi:type="dcterms:W3CDTF">2026-10-08T13:04:42Z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