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выбытия за период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выбытия-за-период"/>
    <w:p>
      <w:pPr>
        <w:pStyle w:val="Heading1"/>
      </w:pPr>
      <w:r>
        <w:t xml:space="preserve">КСУ выбытия за период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хранит записи книги суммарного учета выбытия за период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fs"/>
    <w:p>
      <w:pPr>
        <w:pStyle w:val="Heading2"/>
      </w:pPr>
      <w:r>
        <w:t xml:space="preserve">Назначение KSFS</w:t>
      </w:r>
    </w:p>
    <w:p>
      <w:pPr>
        <w:pStyle w:val="FirstParagraph"/>
      </w:pPr>
      <w:r>
        <w:rPr>
          <w:rStyle w:val="VerbatimChar"/>
        </w:rPr>
        <w:t xml:space="preserve">KSFS</w:t>
      </w:r>
      <w:r>
        <w:t xml:space="preserve"> </w:t>
      </w:r>
      <w:r>
        <w:t xml:space="preserve">является карточным модулем для записей КСУ выбытия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выбытия за период</dc:title>
  <dc:creator/>
  <cp:keywords/>
  <dcterms:created xsi:type="dcterms:W3CDTF">2026-10-09T11:33:15Z</dcterms:created>
  <dcterms:modified xsi:type="dcterms:W3CDTF">2026-10-09T11:33:15Z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