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KSU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ksu"/>
    <w:p>
      <w:pPr>
        <w:pStyle w:val="Heading1"/>
      </w:pPr>
      <w:r>
        <w:t xml:space="preserve">Назначение KSU</w:t>
      </w:r>
    </w:p>
    <w:p>
      <w:pPr>
        <w:pStyle w:val="FirstParagraph"/>
      </w:pPr>
      <w:r>
        <w:rPr>
          <w:rStyle w:val="VerbatimChar"/>
        </w:rPr>
        <w:t xml:space="preserve">KSU</w:t>
      </w:r>
      <w:r>
        <w:t xml:space="preserve"> </w:t>
      </w:r>
      <w:r>
        <w:t xml:space="preserve">является карточным модулем для записей книги суммарного учета поступления. Он использует тип записи</w:t>
      </w:r>
      <w:r>
        <w:t xml:space="preserve"> </w:t>
      </w:r>
      <w:r>
        <w:rPr>
          <w:rStyle w:val="VerbatimChar"/>
        </w:rPr>
        <w:t xml:space="preserve">KSU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 поступления фонда.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KSU</dc:title>
  <dc:creator/>
  <cp:keywords/>
  <dcterms:created xsi:type="dcterms:W3CDTF">2026-10-10T04:39:01Z</dcterms:created>
  <dcterms:modified xsi:type="dcterms:W3CDTF">2026-10-10T04:39:01Z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