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[I128-2150] Сводная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50-сводная-бд-мероприятий"/>
    <w:p>
      <w:pPr>
        <w:pStyle w:val="Heading1"/>
      </w:pPr>
      <w:r>
        <w:t xml:space="preserve">[I128-2150] Сводная БД мероприятий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?id=Help/Show&amp;m=CSpider/Admin/eventdbn</w:t>
      </w:r>
      <w:r>
        <w:t xml:space="preserve"> </w:t>
      </w:r>
      <w:r>
        <w:t xml:space="preserve">- описание параметра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, который задает имя сводной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?id=Help/Show&amp;m=CSpider/Admin/GeneralSettings</w:t>
      </w:r>
      <w:r>
        <w:t xml:space="preserve"> </w:t>
      </w:r>
      <w:r>
        <w:t xml:space="preserve">- добавлена ссылка на настройку сводной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?id=Help/Show&amp;m=CSpider/Admin/Organizations</w:t>
      </w:r>
      <w:r>
        <w:t xml:space="preserve"> </w:t>
      </w:r>
      <w:r>
        <w:t xml:space="preserve">- уточнено подключение БД мероприятий к организации через тип связи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?id=Help/Show&amp;m=CSpider/Admin/ProcessingStages</w:t>
      </w:r>
      <w:r>
        <w:t xml:space="preserve"> </w:t>
      </w:r>
      <w:r>
        <w:t xml:space="preserve">- описан выбор сводной БД по типу записи и условия обработки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?id=Help/Show&amp;m=CSpider/Admin/LinkDbInfo</w:t>
      </w:r>
      <w:r>
        <w:t xml:space="preserve"> </w:t>
      </w:r>
      <w:r>
        <w:t xml:space="preserve">- уточнено назначение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и переход по шифру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описана поддержка отдельной сводной БД мероприятий. Документация объясняет, чем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отличается от рабочей БД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как источники мероприятий подключаются к организациям, как модуль выбирает сводную БД по типу записи и какие проверки выполняются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на этапах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0"/>
    <w:p>
      <w:pPr>
        <w:pStyle w:val="Heading3"/>
      </w:pPr>
      <w:r>
        <w:t xml:space="preserve">1.1. 🔗 Соответствует задача: I128-2120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[I128-2120]</w:t>
        </w:r>
      </w:hyperlink>
      <w:r>
        <w:t xml:space="preserve"> </w:t>
      </w:r>
      <w:r>
        <w:t xml:space="preserve">Сводная БД мероприятий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[I128-2150] Сводная БД мероприятий</dc:title>
  <dc:creator/>
  <cp:keywords/>
  <dcterms:created xsi:type="dcterms:W3CDTF">2026-10-08T20:08:54Z</dcterms:created>
  <dcterms:modified xsi:type="dcterms:W3CDTF">2026-10-08T20:08:54Z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