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[I128-1397] Замена редактора записи мероприятий на стандартный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703315216f953fa170b33d71710c04e70a02f"/>
    <w:p>
      <w:pPr>
        <w:pStyle w:val="Heading1"/>
      </w:pPr>
      <w:r>
        <w:t xml:space="preserve">[I128-1397] Замена редактора записи мероприятий на стандартный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2"/>
    <w:p>
      <w:pPr>
        <w:pStyle w:val="Heading3"/>
      </w:pPr>
      <w:r>
        <w:t xml:space="preserve">1.1. 🔗 Соответствует задача: I128-2152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[I128-2152]</w:t>
        </w:r>
      </w:hyperlink>
      <w:r>
        <w:t xml:space="preserve"> </w:t>
      </w:r>
      <w:r>
        <w:t xml:space="preserve">Редактор записи в БД мероприятий заменить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[I128-1397] Замена редактора записи мероприятий на стандартный</dc:title>
  <dc:creator/>
  <cp:keywords/>
  <dcterms:created xsi:type="dcterms:W3CDTF">2026-10-09T06:20:58Z</dcterms:created>
  <dcterms:modified xsi:type="dcterms:W3CDTF">2026-10-09T06:20:58Z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