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[I128-2571] Database удаляет native-базу данных через общий endpoint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62a9e4b4d399d34fb14f77ba5315feb3718a"/>
    <w:p>
      <w:pPr>
        <w:pStyle w:val="Heading1"/>
      </w:pPr>
      <w:r>
        <w:t xml:space="preserve">[I128-2571] Database удаляет native-базу данных через общий endpoint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удалять native</w:t>
      </w:r>
      <w:r>
        <w:rPr>
          <w:strike/>
        </w:rPr>
        <w:t xml:space="preserve">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UI управления БД не обращался напрямую к provider</w:t>
      </w:r>
      <w:r>
        <w:t xml:space="preserve">specific API и мог использовать единый серверный endpoint с проверкой прав.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 server action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вызывает общий wrapper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Wrapper делегирует удаление provider</w:t>
      </w:r>
      <w:r>
        <w:rPr>
          <w:strike/>
        </w:rPr>
        <w:t xml:space="preserve">level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DropDb</w:t>
      </w:r>
      <w:r>
        <w:rPr>
          <w:strike/>
        </w:rPr>
        <w:t xml:space="preserve">;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он переносит в модуль native</w:t>
      </w:r>
      <w:r>
        <w:t xml:space="preserve">провайдера актуальные пути и настройки из текущего provider instance перед удалением.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безопасный endpoint для удаления БД. Пользователь получает структурированный JSON-результат операции, а при ошибке или отказе провайдера action переводится в error state. Удаление остается доступным только пользователям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удаления БД. Окно подтверждения удаления,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I128~~2549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DP_Irbis64Native::DropDb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удаления БД будет вынесено вместе с UI-задачей удаления.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9"/>
    <w:p>
      <w:pPr>
        <w:pStyle w:val="Heading3"/>
      </w:pPr>
      <w:r>
        <w:t xml:space="preserve">1.1. 🔗 blocks: I128-2549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[I128-2571] Database удаляет native-базу данных через общий endpoint</dc:title>
  <dc:creator/>
  <cp:keywords/>
  <dcterms:created xsi:type="dcterms:W3CDTF">2026-10-10T02:24:01Z</dcterms:created>
  <dcterms:modified xsi:type="dcterms:W3CDTF">2026-10-10T02:24:01Z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