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[I128-1627]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14c73cbba9a92f533fe5f3645e02e669d9587"/>
    <w:p>
      <w:pPr>
        <w:pStyle w:val="Heading1"/>
      </w:pPr>
      <w:r>
        <w:t xml:space="preserve">[I128-1627]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прозрачная авторизация из внешних систем: настройка ключей, параметры подписанной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уточнен способ входа через подписанную внешнюю ссылку.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 удалялись.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добавлено описание прозрачной авторизации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Документация объясняет, какие ключи задаются в настройках, какие параметры должна передавать внешняя система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параметры серверной проверки и не связан с новой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8"/>
    <w:p>
      <w:pPr>
        <w:pStyle w:val="Heading3"/>
      </w:pPr>
      <w:r>
        <w:t xml:space="preserve">1.1. 🔗 Соответствует задача: I128-1618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[I128-1618]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[I128-1627] Возможность прозрачной авторизации в ИРБИС 128</dc:title>
  <dc:creator/>
  <cp:keywords/>
  <dcterms:created xsi:type="dcterms:W3CDTF">2026-10-09T09:30:55Z</dcterms:created>
  <dcterms:modified xsi:type="dcterms:W3CDTF">2026-10-09T09:30:55Z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