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I128FMail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назначение-модуля-i128fmail"/>
    <w:p>
      <w:pPr>
        <w:pStyle w:val="Heading1"/>
      </w:pPr>
      <w:r>
        <w:t xml:space="preserve">Назначение модуля I128FMail</w:t>
      </w:r>
    </w:p>
    <w:p>
      <w:pPr>
        <w:pStyle w:val="FirstParagraph"/>
      </w:pPr>
      <w:r>
        <w:rPr>
          <w:rStyle w:val="VerbatimChar"/>
        </w:rPr>
        <w:t xml:space="preserve">I128FMail</w:t>
      </w:r>
      <w:r>
        <w:t xml:space="preserve"> </w:t>
      </w:r>
      <w:r>
        <w:t xml:space="preserve">используется для отправки уведомлений от имени системы и как владелец контракта входящего почтового канала. Настройки исходящей отправки хранят адрес отправителя, имя отправителя, параметры SMTP и параметры HTTP-шлюза.</w:t>
      </w:r>
    </w:p>
    <w:bookmarkStart w:id="11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настройка основного почтового ящика системы;</w:t>
      </w:r>
    </w:p>
    <w:p>
      <w:pPr>
        <w:pStyle w:val="Compact"/>
        <w:numPr>
          <w:ilvl w:val="0"/>
          <w:numId w:val="1001"/>
        </w:numPr>
      </w:pPr>
      <w:r>
        <w:t xml:space="preserve">отправка письма через SMTP;</w:t>
      </w:r>
    </w:p>
    <w:p>
      <w:pPr>
        <w:pStyle w:val="Compact"/>
        <w:numPr>
          <w:ilvl w:val="0"/>
          <w:numId w:val="1001"/>
        </w:numPr>
      </w:pPr>
      <w:r>
        <w:t xml:space="preserve">отправка письма через внешний HTTP-шлюз;</w:t>
      </w:r>
    </w:p>
    <w:p>
      <w:pPr>
        <w:pStyle w:val="Compact"/>
        <w:numPr>
          <w:ilvl w:val="0"/>
          <w:numId w:val="1001"/>
        </w:numPr>
      </w:pPr>
      <w:r>
        <w:t xml:space="preserve">постановка отправки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отправка письма с вложениями.</w:t>
      </w:r>
    </w:p>
    <w:p>
      <w:pPr>
        <w:pStyle w:val="Compact"/>
        <w:numPr>
          <w:ilvl w:val="0"/>
          <w:numId w:val="1001"/>
        </w:numPr>
      </w:pPr>
      <w:r>
        <w:t xml:space="preserve">описание mailbox profile для входящих писем;</w:t>
      </w:r>
    </w:p>
    <w:p>
      <w:pPr>
        <w:pStyle w:val="Compact"/>
        <w:numPr>
          <w:ilvl w:val="0"/>
          <w:numId w:val="1001"/>
        </w:numPr>
      </w:pPr>
      <w:r>
        <w:t xml:space="preserve">нормализация входящего письма в безопасный envelope для owner-модуля.</w:t>
      </w:r>
    </w:p>
    <w:p>
      <w:pPr>
        <w:pStyle w:val="FirstParagraph"/>
      </w:pPr>
      <w:r>
        <w:t xml:space="preserve">Формат списка вложений и точки вызова описаны в разделе</w:t>
      </w:r>
      <w:r>
        <w:t xml:space="preserve"> </w:t>
      </w:r>
      <w:hyperlink r:id="rId9">
        <w:r>
          <w:rPr>
            <w:rStyle w:val="Hyperlink"/>
          </w:rPr>
          <w:t xml:space="preserve">API отправки писем</w:t>
        </w:r>
      </w:hyperlink>
      <w:r>
        <w:t xml:space="preserve">.</w:t>
      </w:r>
      <w:r>
        <w:t xml:space="preserve"> </w:t>
      </w:r>
      <w:r>
        <w:t xml:space="preserve">Входящий канал описан в разделе</w:t>
      </w:r>
      <w:r>
        <w:t xml:space="preserve"> </w:t>
      </w:r>
      <w:hyperlink r:id="rId10">
        <w:r>
          <w:rPr>
            <w:rStyle w:val="Hyperlink"/>
          </w:rPr>
          <w:t xml:space="preserve">Входящая почта и mailbox profiles</w:t>
        </w:r>
      </w:hyperlink>
      <w:r>
        <w:t xml:space="preserve">.</w:t>
      </w:r>
    </w:p>
    <w:bookmarkEnd w:id="11"/>
    <w:bookmarkStart w:id="12" w:name="выбор-ящика"/>
    <w:p>
      <w:pPr>
        <w:pStyle w:val="Heading2"/>
      </w:pPr>
      <w:r>
        <w:t xml:space="preserve">2. Выбор ящика</w:t>
      </w:r>
    </w:p>
    <w:p>
      <w:pPr>
        <w:pStyle w:val="FirstParagraph"/>
      </w:pPr>
      <w:r>
        <w:rPr>
          <w:rStyle w:val="VerbatimChar"/>
        </w:rPr>
        <w:t xml:space="preserve">GetMailbox</w:t>
      </w:r>
      <w:r>
        <w:t xml:space="preserve"> </w:t>
      </w:r>
      <w:r>
        <w:t xml:space="preserve">сначала пытается найти ящик, связанный с административной переменной указанного модуля. Если связь не найдена, используется основной ящик</w:t>
      </w:r>
      <w:r>
        <w:t xml:space="preserve"> </w:t>
      </w:r>
      <w:r>
        <w:rPr>
          <w:rStyle w:val="VerbatimChar"/>
        </w:rPr>
        <w:t xml:space="preserve">MainI128FMail</w:t>
      </w:r>
      <w:r>
        <w:t xml:space="preserve">.</w:t>
      </w:r>
    </w:p>
    <w:bookmarkEnd w:id="12"/>
    <w:bookmarkStart w:id="13" w:name="ограничения"/>
    <w:p>
      <w:pPr>
        <w:pStyle w:val="Heading2"/>
      </w:pPr>
      <w:r>
        <w:t xml:space="preserve">3. Ограничения</w:t>
      </w:r>
    </w:p>
    <w:p>
      <w:pPr>
        <w:pStyle w:val="FirstParagraph"/>
      </w:pPr>
      <w:r>
        <w:t xml:space="preserve">Работа исходящей отправки зависит от корректности SMTP/HTTP-настроек, доступности внешнего сервера и настроек очереди. Для новых входящих профилей секреты подключения должны задаваться ссылками на секреты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а не открытым текстом в профиле.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I128FMail/Help/API" TargetMode="External" /><Relationship Type="http://schemas.openxmlformats.org/officeDocument/2006/relationships/hyperlink" Id="rId10" Target="?id=Help/Show&amp;m=I128FMail/Help/Inboun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I128FMail/Help/API" TargetMode="External" /><Relationship Type="http://schemas.openxmlformats.org/officeDocument/2006/relationships/hyperlink" Id="rId10" Target="?id=Help/Show&amp;m=I128FMail/Help/Inboun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I128FMail</dc:title>
  <dc:creator/>
  <cp:keywords/>
  <dcterms:created xsi:type="dcterms:W3CDTF">2026-10-04T08:28:55Z</dcterms:created>
  <dcterms:modified xsi:type="dcterms:W3CDTF">2026-10-04T08:28:55Z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