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безопасности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подсистема-безопасности"/>
    <w:p>
      <w:pPr>
        <w:pStyle w:val="Heading1"/>
      </w:pPr>
      <w:r>
        <w:t xml:space="preserve">Подсистема безопасности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управляет SID, владельцами объектов, наследованием прав, ролями пользователя и проверкой доступа к действиям над объектами.</w:t>
      </w:r>
    </w:p>
    <w:bookmarkStart w:id="9" w:name="назначение-security"/>
    <w:p>
      <w:pPr>
        <w:pStyle w:val="Heading2"/>
      </w:pPr>
      <w:r>
        <w:t xml:space="preserve">Назначение Security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инфраструктурным модулем прав доступа. Он хранит служебные сведения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 системный идентификатор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владельца объекта, связи дерева объектов, права</w:t>
      </w:r>
      <w:r>
        <w:t xml:space="preserve"> </w:t>
      </w:r>
      <w:r>
        <w:rPr>
          <w:rStyle w:val="VerbatimChar"/>
        </w:rPr>
        <w:t xml:space="preserve">SEC</w:t>
      </w:r>
      <w:r>
        <w:t xml:space="preserve"> </w:t>
      </w:r>
      <w:r>
        <w:t xml:space="preserve">и наследованные права.</w:t>
      </w:r>
    </w:p>
    <w:p>
      <w:pPr>
        <w:pStyle w:val="BodyText"/>
      </w:pPr>
      <w:r>
        <w:t xml:space="preserve">Модуль вычисляет роли текущего пользователя через типы групп</w:t>
      </w:r>
      <w:r>
        <w:t xml:space="preserve"> </w:t>
      </w:r>
      <w:r>
        <w:rPr>
          <w:rStyle w:val="VerbatimChar"/>
        </w:rPr>
        <w:t xml:space="preserve">.gtc</w:t>
      </w:r>
      <w:r>
        <w:t xml:space="preserve">, проверяет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ADDSUB</w:t>
      </w:r>
      <w:r>
        <w:t xml:space="preserve">,</w:t>
      </w:r>
      <w:r>
        <w:t xml:space="preserve"> </w:t>
      </w:r>
      <w:r>
        <w:rPr>
          <w:rStyle w:val="VerbatimChar"/>
        </w:rPr>
        <w:t xml:space="preserve">VIEWRIGHTS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ADDRIGHTS</w:t>
      </w:r>
      <w:r>
        <w:t xml:space="preserve">, строит кнопки действий с учетом прав и поддерживает перестроение наследованных прав для подчиненных объектов.</w:t>
      </w:r>
    </w:p>
    <w:p>
      <w:pPr>
        <w:pStyle w:val="BodyText"/>
      </w:pPr>
      <w:r>
        <w:t xml:space="preserve">Для интеграций и системных профилей модуль также является владельцем системных ссылок на секреты: внешние модули должны хранить</w:t>
      </w:r>
      <w:r>
        <w:t xml:space="preserve"> </w:t>
      </w:r>
      <w:r>
        <w:rPr>
          <w:rStyle w:val="VerbatimChar"/>
        </w:rPr>
        <w:t xml:space="preserve">secret://scope/name</w:t>
      </w:r>
      <w:r>
        <w:t xml:space="preserve">, а не открытые пароли, токены или webhook-ключи. Значение секрета выдается только доверенному runtime-коду через отдельную операцию разрешения ссылки и не попадает в списки, диагностику, Help или audit.</w:t>
      </w:r>
    </w:p>
    <w:p>
      <w:pPr>
        <w:pStyle w:val="BodyText"/>
      </w:pPr>
      <w:r>
        <w:t xml:space="preserve">Типы групп подключаются из файлов</w:t>
      </w:r>
      <w:r>
        <w:t xml:space="preserve"> </w:t>
      </w:r>
      <w:r>
        <w:rPr>
          <w:rStyle w:val="VerbatimChar"/>
        </w:rPr>
        <w:t xml:space="preserve">.gtc</w:t>
      </w:r>
      <w:r>
        <w:t xml:space="preserve"> </w:t>
      </w:r>
      <w:r>
        <w:t xml:space="preserve">рядом с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: IP, LOGIN, GROUP, SITESPEC, LDAPGROUP и другие. Эти классы определяют, какие роли есть у текущего пользователя и как они отображаются в интерфейсе редактирования прав.</w:t>
      </w:r>
    </w:p>
    <w:p>
      <w:pPr>
        <w:pStyle w:val="BodyText"/>
      </w:pPr>
      <w:r>
        <w:t xml:space="preserve">Для новых промышленных контуров модуль также предоставляет общий permission decision contract:</w:t>
      </w:r>
      <w:r>
        <w:t xml:space="preserve"> </w:t>
      </w:r>
      <w:r>
        <w:rPr>
          <w:rStyle w:val="VerbatimChar"/>
        </w:rPr>
        <w:t xml:space="preserve">PermissionScheme</w:t>
      </w:r>
      <w:r>
        <w:t xml:space="preserve">, role-based grants/denies, field/view decisions, batch-проверку и audit envelope. Этот контракт предназначен для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 публичных представлений, API и экспорта, но не переносит в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доменную логику этих модулей.</w:t>
      </w:r>
    </w:p>
    <w:bookmarkEnd w:id="9"/>
    <w:bookmarkStart w:id="14" w:name="служебное-поле-113"/>
    <w:p>
      <w:pPr>
        <w:pStyle w:val="Heading2"/>
      </w:pPr>
      <w:r>
        <w:t xml:space="preserve">Служебное поле 113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используется ИРБИС 128 как служебное поле совместимости, идентификации объектов, прав доступа и некоторых доменных связей. Это не универсальное поле ИРБИС 64, которое должно автоматически появляться в каждой записи.</w:t>
      </w:r>
    </w:p>
    <w:p>
      <w:pPr>
        <w:pStyle w:val="BodyText"/>
      </w:pPr>
      <w:r>
        <w:t xml:space="preserve">Обычные операции чтения и сохранения записи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и другие провайдеры не создают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автоматически. Если поле уже есть в записи, оно сохраняется как часть физической записи и участвует в форматировании, индексировании и экспорте так же, как остальные поля.</w:t>
      </w:r>
    </w:p>
    <w:bookmarkStart w:id="10" w:name="ответственность-модулей"/>
    <w:p>
      <w:pPr>
        <w:pStyle w:val="Heading3"/>
      </w:pPr>
      <w:r>
        <w:t xml:space="preserve">1. Ответственность модулей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владельцем модели прав и служебных повторов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которые описывают доступ к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Повтор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</w:t>
            </w:r>
          </w:p>
        </w:tc>
        <w:tc>
          <w:tcPr/>
          <w:p>
            <w:pPr>
              <w:pStyle w:val="Compact"/>
            </w:pPr>
            <w:r>
              <w:t xml:space="preserve">Системный идентификатор записи, владелец и флаг наследования прав.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^ASEC</w:t>
            </w:r>
          </w:p>
        </w:tc>
        <w:tc>
          <w:tcPr/>
          <w:p>
            <w:pPr>
              <w:pStyle w:val="Compact"/>
            </w:pPr>
            <w:r>
              <w:t xml:space="preserve">Право доступа для группы, пользователя, IP, сайта или другой группы безопасности.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^ALINK</w:t>
            </w:r>
          </w:p>
        </w:tc>
        <w:tc>
          <w:tcPr/>
          <w:p>
            <w:pPr>
              <w:pStyle w:val="Compact"/>
            </w:pPr>
            <w:r>
              <w:t xml:space="preserve">Служебная связь записи с другим объектом по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^AAUTH</w:t>
            </w:r>
          </w:p>
        </w:tc>
        <w:tc>
          <w:tcPr/>
          <w:p>
            <w:pPr>
              <w:pStyle w:val="Compact"/>
            </w:pPr>
            <w:r>
              <w:t xml:space="preserve">Данные авторизации пользователя, если конфигурация авторизации использует поле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^AROLES</w:t>
            </w:r>
          </w:p>
        </w:tc>
        <w:tc>
          <w:tcPr/>
          <w:p>
            <w:pPr>
              <w:pStyle w:val="Compact"/>
            </w:pPr>
            <w:r>
              <w:t xml:space="preserve">Роли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^AMVIDS</w:t>
            </w:r>
          </w:p>
        </w:tc>
        <w:tc>
          <w:tcPr/>
          <w:p>
            <w:pPr>
              <w:pStyle w:val="Compact"/>
            </w:pPr>
            <w:r>
              <w:t xml:space="preserve">Разрешенные места выдачи пользователя для интерфейсов WIrbis/Bookland.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^ASIDTHREAD</w:t>
            </w:r>
          </w:p>
        </w:tc>
        <w:tc>
          <w:tcPr/>
          <w:p>
            <w:pPr>
              <w:pStyle w:val="Compact"/>
            </w:pPr>
            <w:r>
              <w:t xml:space="preserve">Служебная цепочка подчиненных объектов.</w:t>
            </w:r>
          </w:p>
        </w:tc>
      </w:tr>
    </w:tbl>
    <w:p>
      <w:pPr>
        <w:pStyle w:val="BodyText"/>
      </w:pPr>
      <w:r>
        <w:t xml:space="preserve">Доменные модули могут иметь собственные совместимые повторы. Например,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113^AFT</w:t>
      </w:r>
      <w:r>
        <w:t xml:space="preserve"> </w:t>
      </w:r>
      <w:r>
        <w:t xml:space="preserve">для связи библиографической записи с полнотекстовым объектом. Такой повтор создается кодом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а не общим слоем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End w:id="10"/>
    <w:bookmarkStart w:id="11" w:name="явная-материализация"/>
    <w:p>
      <w:pPr>
        <w:pStyle w:val="Heading3"/>
      </w:pPr>
      <w:r>
        <w:t xml:space="preserve">2. Явная материализация</w:t>
      </w:r>
    </w:p>
    <w:p>
      <w:pPr>
        <w:pStyle w:val="FirstParagraph"/>
      </w:pPr>
      <w:r>
        <w:t xml:space="preserve">Создавать или изменять служебные повторы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нужно только явным вызовом API соответствующего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API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физический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Security::EnsurePhysicalSid()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права по умолчанию управляемого объекта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Security::EnsureDefaultRights()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Выполнить совместимую legacy-материализацию прав и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Security::MaterializeRecordSecurity()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или обновить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Security::MaterializeRight()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локальное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все локальные права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Security::DeleteAllLocalRights()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Сделать унаследованное право локальным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Security::MakeRightsLocal()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наследование прав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Security::SetRightsParenting()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владельца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Security::SetOwnerSid()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или удалить</w:t>
            </w:r>
            <w:r>
              <w:t xml:space="preserve"> </w:t>
            </w:r>
            <w:r>
              <w:rPr>
                <w:rStyle w:val="VerbatimChar"/>
              </w:rPr>
              <w:t xml:space="preserve">LINK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Security::MaterializeLink()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Security::DeleteLink()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данные авторизации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Security::MaterializeAuth()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Security::MaterializeAuthField()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роли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Security::SetRoles()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Security::EnsureRole()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места выдачи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Security::SetMvids()</w:t>
            </w:r>
          </w:p>
        </w:tc>
      </w:tr>
    </w:tbl>
    <w:p>
      <w:pPr>
        <w:pStyle w:val="BodyText"/>
      </w:pPr>
      <w:r>
        <w:t xml:space="preserve">Код, который только читает или сохраняет запись, не должен вызывать эти методы без явного пользовательского или доменного действия. Низкоуровневый</w:t>
      </w:r>
      <w:r>
        <w:t xml:space="preserve"> </w:t>
      </w:r>
      <w:r>
        <w:rPr>
          <w:rStyle w:val="VerbatimChar"/>
        </w:rPr>
        <w:t xml:space="preserve">Record::SetSid()</w:t>
      </w:r>
      <w:r>
        <w:t xml:space="preserve"> </w:t>
      </w:r>
      <w:r>
        <w:t xml:space="preserve">остается внутренним механизмом физической записи</w:t>
      </w:r>
      <w:r>
        <w:t xml:space="preserve"> </w:t>
      </w:r>
      <w:r>
        <w:rPr>
          <w:rStyle w:val="VerbatimChar"/>
        </w:rPr>
        <w:t xml:space="preserve">113^A=SID</w:t>
      </w:r>
      <w:r>
        <w:t xml:space="preserve">, но прикладные модули должны обращаться к нему через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. Legacy-обертки</w:t>
      </w:r>
      <w:r>
        <w:t xml:space="preserve"> </w:t>
      </w:r>
      <w:r>
        <w:rPr>
          <w:rStyle w:val="VerbatimChar"/>
        </w:rPr>
        <w:t xml:space="preserve">Record::EnsureSid()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Record::SidSave()</w:t>
      </w:r>
      <w:r>
        <w:t xml:space="preserve"> </w:t>
      </w:r>
      <w:r>
        <w:t xml:space="preserve">допускаются только как совместимость: материализация SID в них проходит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Форматы, списки записей, деревья, preview-панели и другие операции отображения не должны создавать SID и не должны сохранять запись только ради появления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Если для кеша отображения нужен устойчивый ключ, нужно использовать уже существующий SID или внешний cache-key, не изменяющий запись.</w:t>
      </w:r>
    </w:p>
    <w:p>
      <w:pPr>
        <w:pStyle w:val="BodyText"/>
      </w:pPr>
      <w:r>
        <w:t xml:space="preserve">Инвариант проверяется self-test</w:t>
      </w:r>
      <w:r>
        <w:t xml:space="preserve"> </w:t>
      </w:r>
      <w:r>
        <w:rPr>
          <w:rStyle w:val="VerbatimChar"/>
        </w:rPr>
        <w:t xml:space="preserve">tools/Record113BoundarySelfTest.php</w:t>
      </w:r>
      <w:r>
        <w:t xml:space="preserve">: обычные операции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должны материализовать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включая повторное сохранение после конфликта версии, lookup по SID не должен вызывать низкоуровневый</w:t>
      </w:r>
      <w:r>
        <w:t xml:space="preserve"> </w:t>
      </w:r>
      <w:r>
        <w:rPr>
          <w:rStyle w:val="VerbatimChar"/>
        </w:rPr>
        <w:t xml:space="preserve">SetSid()</w:t>
      </w:r>
      <w:r>
        <w:t xml:space="preserve">, а явное создание SID и прав выполняется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Тот же тест покрывает legacy helper старого WS-редактора</w:t>
      </w:r>
      <w:r>
        <w:t xml:space="preserve"> </w:t>
      </w:r>
      <w:r>
        <w:rPr>
          <w:rStyle w:val="VerbatimChar"/>
        </w:rPr>
        <w:t xml:space="preserve">WS/JS/GetRLList</w:t>
      </w:r>
      <w:r>
        <w:t xml:space="preserve">: если helper должен передать SID в URL и Ajax-параметры, он сначала явно вызывает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, а затем использует уже материализованный SID.</w:t>
      </w:r>
    </w:p>
    <w:bookmarkEnd w:id="11"/>
    <w:bookmarkStart w:id="12" w:name="совместимость-с-ирбис-64-и-irbistool"/>
    <w:p>
      <w:pPr>
        <w:pStyle w:val="Heading3"/>
      </w:pPr>
      <w:r>
        <w:t xml:space="preserve">3. Совместимость с ИРБИС 64 и irbistool</w:t>
      </w:r>
    </w:p>
    <w:p>
      <w:pPr>
        <w:pStyle w:val="FirstParagraph"/>
      </w:pPr>
      <w:r>
        <w:t xml:space="preserve">Если запись уже содержит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ИРБИС 128 должен сохранить его без потерь. Это важно для совместимости с существующими базами, форматами, индексированием и проверками соответствия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.</w:t>
      </w:r>
    </w:p>
    <w:p>
      <w:pPr>
        <w:pStyle w:val="BodyText"/>
      </w:pPr>
      <w:r>
        <w:t xml:space="preserve">Провайдеры данных отвечают за физическое чтение и запись полей. Они не принимают решение о том, что записи нужен SID, право, роль или связь. Такое решение принимает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или доменный модуль, который выполняет конкретную пользовательскую операцию.</w:t>
      </w:r>
    </w:p>
    <w:bookmarkEnd w:id="12"/>
    <w:bookmarkStart w:id="13" w:name="исключения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Операции миграции и слияния записей могут переносить уже существующее физическое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из одной записи в другую. Это не считается автоматической генерацией. Такие операции должны сохранять структуру поля как данные источника и не добавлять новые служебные повторы без явной цели миграции.</w:t>
      </w:r>
    </w:p>
    <w:p>
      <w:pPr>
        <w:pStyle w:val="BodyText"/>
      </w:pPr>
      <w:r>
        <w:t xml:space="preserve">Очистка старых некорректных повторов, например пустых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 допускается как миграционная или доменная нормализация данных. Она должна быть локализована в соответствующем модуле и не должна превращаться в общее правило сохранения записи.</w:t>
      </w:r>
    </w:p>
    <w:bookmarkEnd w:id="13"/>
    <w:bookmarkEnd w:id="14"/>
    <w:bookmarkStart w:id="18" w:name="системное-хранилище-секретов"/>
    <w:p>
      <w:pPr>
        <w:pStyle w:val="Heading2"/>
      </w:pPr>
      <w:r>
        <w:t xml:space="preserve">Системное хранилище секретов</w:t>
      </w:r>
    </w:p>
    <w:p>
      <w:pPr>
        <w:pStyle w:val="FirstParagraph"/>
      </w:pPr>
      <w:r>
        <w:t xml:space="preserve">Системное хранилище секретов используется для паролей, token, API key, webhook secret и других значений, которые не должны храниться в открытом виде в настройках доменных модулей.</w:t>
      </w:r>
    </w:p>
    <w:bookmarkStart w:id="15" w:name="ссылка-на-секрет"/>
    <w:p>
      <w:pPr>
        <w:pStyle w:val="Heading3"/>
      </w:pPr>
      <w:r>
        <w:t xml:space="preserve">1. Ссылка на секрет</w:t>
      </w:r>
    </w:p>
    <w:p>
      <w:pPr>
        <w:pStyle w:val="FirstParagraph"/>
      </w:pPr>
      <w:r>
        <w:t xml:space="preserve">Внешние модули хранят только ссылку:</w:t>
      </w:r>
    </w:p>
    <w:p>
      <w:pPr>
        <w:pStyle w:val="SourceCode"/>
      </w:pPr>
      <w:r>
        <w:rPr>
          <w:rStyle w:val="VerbatimChar"/>
        </w:rPr>
        <w:t xml:space="preserve">secret://scope/name</w:t>
      </w:r>
    </w:p>
    <w:p>
      <w:pPr>
        <w:pStyle w:val="FirstParagraph"/>
      </w:pPr>
      <w: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secret://api/jira/main-token</w:t>
      </w:r>
      <w:r>
        <w:br/>
      </w:r>
      <w:r>
        <w:rPr>
          <w:rStyle w:val="VerbatimChar"/>
        </w:rPr>
        <w:t xml:space="preserve">secret://mailbox/support/smtp-password</w:t>
      </w:r>
      <w:r>
        <w:br/>
      </w:r>
      <w:r>
        <w:rPr>
          <w:rStyle w:val="VerbatimChar"/>
        </w:rPr>
        <w:t xml:space="preserve">secret://webhook/bitbucket/pr-relay</w:t>
      </w:r>
    </w:p>
    <w:p>
      <w:pPr>
        <w:pStyle w:val="FirstParagraph"/>
      </w:pPr>
      <w:r>
        <w:rPr>
          <w:rStyle w:val="VerbatimChar"/>
        </w:rPr>
        <w:t xml:space="preserve">scope</w:t>
      </w:r>
      <w:r>
        <w:t xml:space="preserve"> </w:t>
      </w:r>
      <w:r>
        <w:t xml:space="preserve">задает область использования секрета:</w:t>
      </w:r>
      <w:r>
        <w:t xml:space="preserve"> </w:t>
      </w:r>
      <w:r>
        <w:rPr>
          <w:rStyle w:val="VerbatimChar"/>
        </w:rPr>
        <w:t xml:space="preserve">system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adapter</w:t>
      </w:r>
      <w:r>
        <w:t xml:space="preserve">,</w:t>
      </w:r>
      <w:r>
        <w:t xml:space="preserve"> </w:t>
      </w:r>
      <w:r>
        <w:rPr>
          <w:rStyle w:val="VerbatimChar"/>
        </w:rPr>
        <w:t xml:space="preserve">mailbox</w:t>
      </w:r>
      <w:r>
        <w:t xml:space="preserve">,</w:t>
      </w:r>
      <w:r>
        <w:t xml:space="preserve"> </w:t>
      </w:r>
      <w:r>
        <w:rPr>
          <w:rStyle w:val="VerbatimChar"/>
        </w:rPr>
        <w:t xml:space="preserve">webhook</w:t>
      </w:r>
      <w:r>
        <w:t xml:space="preserve">,</w:t>
      </w:r>
      <w:r>
        <w:t xml:space="preserve"> </w:t>
      </w:r>
      <w:r>
        <w:rPr>
          <w:rStyle w:val="VerbatimChar"/>
        </w:rPr>
        <w:t xml:space="preserve">api</w:t>
      </w:r>
      <w:r>
        <w:t xml:space="preserve">,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  <w:r>
        <w:t xml:space="preserve"> </w:t>
      </w:r>
      <w:r>
        <w:rPr>
          <w:rStyle w:val="VerbatimChar"/>
        </w:rPr>
        <w:t xml:space="preserve">name</w:t>
      </w:r>
      <w:r>
        <w:t xml:space="preserve"> </w:t>
      </w:r>
      <w:r>
        <w:t xml:space="preserve">является стабильным техническим именем внутри области.</w:t>
      </w:r>
    </w:p>
    <w:bookmarkEnd w:id="15"/>
    <w:bookmarkStart w:id="16" w:name="операции-модуля"/>
    <w:p>
      <w:pPr>
        <w:pStyle w:val="Heading3"/>
      </w:pPr>
      <w:r>
        <w:t xml:space="preserve">2. Операции модуля</w:t>
      </w:r>
    </w:p>
    <w:p>
      <w:pPr>
        <w:pStyle w:val="FirstParagraph"/>
      </w:pPr>
      <w:r>
        <w:t xml:space="preserve">Для работы с секретами используются внешние функции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Функция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NormalizeSecretReference</w:t>
            </w:r>
          </w:p>
        </w:tc>
        <w:tc>
          <w:tcPr/>
          <w:p>
            <w:pPr>
              <w:pStyle w:val="Compact"/>
            </w:pPr>
            <w:r>
              <w:t xml:space="preserve">Проверяет ссылку и приводит ее к каноническому виду.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RotateSecret</w:t>
            </w:r>
          </w:p>
        </w:tc>
        <w:tc>
          <w:tcPr/>
          <w:p>
            <w:pPr>
              <w:pStyle w:val="Compact"/>
            </w:pPr>
            <w:r>
              <w:t xml:space="preserve">Создает или заменяет значение секрета. Значение шифруется и не возвращается в ответе.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ResolveSecretReference</w:t>
            </w:r>
          </w:p>
        </w:tc>
        <w:tc>
          <w:tcPr/>
          <w:p>
            <w:pPr>
              <w:pStyle w:val="Compact"/>
            </w:pPr>
            <w:r>
              <w:t xml:space="preserve">Возвращает безопасные метаданные секрета. Значение выдается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includeValue=true</w:t>
            </w:r>
            <w:r>
              <w:t xml:space="preserve"> </w:t>
            </w:r>
            <w:r>
              <w:t xml:space="preserve">и разрешенном consumer.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GetSecretMetadata</w:t>
            </w:r>
          </w:p>
        </w:tc>
        <w:tc>
          <w:tcPr/>
          <w:p>
            <w:pPr>
              <w:pStyle w:val="Compact"/>
            </w:pPr>
            <w:r>
              <w:t xml:space="preserve">Возвращает метаданные без расшифровки значения.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ListSecretReferences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ссылок и безопасных метаданных.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MaskSecretPayload</w:t>
            </w:r>
          </w:p>
        </w:tc>
        <w:tc>
          <w:tcPr/>
          <w:p>
            <w:pPr>
              <w:pStyle w:val="Compact"/>
            </w:pPr>
            <w:r>
              <w:t xml:space="preserve">Маскирует секретные значения перед выводом в UI, лог или audit.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HealthCheckSecretsDefinition</w:t>
            </w:r>
          </w:p>
        </w:tc>
        <w:tc>
          <w:tcPr/>
          <w:p>
            <w:pPr>
              <w:pStyle w:val="Compact"/>
            </w:pPr>
            <w:r>
              <w:t xml:space="preserve">Проверяет контракт и структуру хранилища без раскрытия секретов.</w:t>
            </w:r>
          </w:p>
        </w:tc>
      </w:tr>
    </w:tbl>
    <w:bookmarkEnd w:id="16"/>
    <w:bookmarkStart w:id="17" w:name="правила-безопасности"/>
    <w:p>
      <w:pPr>
        <w:pStyle w:val="Heading3"/>
      </w:pPr>
      <w:r>
        <w:t xml:space="preserve">3. Правила безопасности</w:t>
      </w:r>
    </w:p>
    <w:p>
      <w:pPr>
        <w:pStyle w:val="FirstParagraph"/>
      </w:pPr>
      <w:r>
        <w:t xml:space="preserve">Списки, метаданные, Help, HealthCheck и audit не должны возвращать открытое значение секрета. Ротация значения и выдача открытого значения требуют администратора или доверенного runtime-кода модуля. Runtime-код потребителя получает значение только через</w:t>
      </w:r>
      <w:r>
        <w:t xml:space="preserve"> </w:t>
      </w:r>
      <w:r>
        <w:rPr>
          <w:rStyle w:val="VerbatimChar"/>
        </w:rPr>
        <w:t xml:space="preserve">ResolveSecretReference</w:t>
      </w:r>
      <w:r>
        <w:t xml:space="preserve"> </w:t>
      </w:r>
      <w:r>
        <w:t xml:space="preserve">с явным</w:t>
      </w:r>
      <w:r>
        <w:t xml:space="preserve"> </w:t>
      </w:r>
      <w:r>
        <w:rPr>
          <w:rStyle w:val="VerbatimChar"/>
        </w:rPr>
        <w:t xml:space="preserve">includeValue=true</w:t>
      </w:r>
      <w:r>
        <w:t xml:space="preserve">. Если у секрета задан список</w:t>
      </w:r>
      <w:r>
        <w:t xml:space="preserve"> </w:t>
      </w:r>
      <w:r>
        <w:rPr>
          <w:rStyle w:val="VerbatimChar"/>
        </w:rPr>
        <w:t xml:space="preserve">consumers</w:t>
      </w:r>
      <w:r>
        <w:t xml:space="preserve">, значение выдается только указанному потребителю.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ссылку, хранение, ротацию, маскирование и безопасную выдачу значения. Доменные модули остаются владельцами своей бизнес-логики, профилей интеграции и правил применения полученного секрета.</w:t>
      </w:r>
    </w:p>
    <w:bookmarkEnd w:id="17"/>
    <w:bookmarkEnd w:id="18"/>
    <w:bookmarkStart w:id="19" w:name="permission-decision-contract"/>
    <w:p>
      <w:pPr>
        <w:pStyle w:val="Heading2"/>
      </w:pPr>
      <w:r>
        <w:t xml:space="preserve">Permission Decision Contract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предоставляет общий контракт проверки доступа для UI, API, workflow runtime, публичных форм, фильтров и экспорта. Контракт не содержит знаний о задачах, workflow, файлах или других доменных объектах: вызывающий модуль передает субъект, объект, ключ права, область проверки и контекст.</w:t>
      </w:r>
    </w:p>
    <w:p>
      <w:pPr>
        <w:pStyle w:val="BodyText"/>
      </w:pPr>
      <w:r>
        <w:t xml:space="preserve">Основной результат проверки -</w:t>
      </w:r>
      <w:r>
        <w:t xml:space="preserve"> </w:t>
      </w:r>
      <w:r>
        <w:rPr>
          <w:rStyle w:val="VerbatimChar"/>
        </w:rPr>
        <w:t xml:space="preserve">SecurityAccessDecision</w:t>
      </w:r>
      <w:r>
        <w:t xml:space="preserve">. В нем фиксируются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decision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permissionKey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, безопасная причина отказа или разрешения, diagnostic code, object reference, subject reference и признак необходимости audit.</w:t>
      </w:r>
    </w:p>
    <w:p>
      <w:pPr>
        <w:pStyle w:val="BodyText"/>
      </w:pPr>
      <w:r>
        <w:t xml:space="preserve">Поддерживаемые решения: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Решение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</w:t>
            </w:r>
          </w:p>
        </w:tc>
        <w:tc>
          <w:tcPr/>
          <w:p>
            <w:pPr>
              <w:pStyle w:val="Compact"/>
            </w:pPr>
            <w:r>
              <w:t xml:space="preserve">действие разрешено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deny</w:t>
            </w:r>
          </w:p>
        </w:tc>
        <w:tc>
          <w:tcPr/>
          <w:p>
            <w:pPr>
              <w:pStyle w:val="Compact"/>
            </w:pPr>
            <w:r>
              <w:t xml:space="preserve">действие запрещено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</w:t>
            </w:r>
          </w:p>
        </w:tc>
        <w:tc>
          <w:tcPr/>
          <w:p>
            <w:pPr>
              <w:pStyle w:val="Compact"/>
            </w:pPr>
            <w:r>
              <w:t xml:space="preserve">значение можно показать только в маскированном виде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readonly</w:t>
            </w:r>
          </w:p>
        </w:tc>
        <w:tc>
          <w:tcPr/>
          <w:p>
            <w:pPr>
              <w:pStyle w:val="Compact"/>
            </w:pPr>
            <w:r>
              <w:t xml:space="preserve">объект или поле доступно только для чтения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not-applicable</w:t>
            </w:r>
          </w:p>
        </w:tc>
        <w:tc>
          <w:tcPr/>
          <w:p>
            <w:pPr>
              <w:pStyle w:val="Compact"/>
            </w:pPr>
            <w:r>
              <w:t xml:space="preserve">отдельная схема не задана, вызывающий модуль применяет свое совместимое поведение</w:t>
            </w:r>
          </w:p>
        </w:tc>
      </w:tr>
    </w:tbl>
    <w:p>
      <w:pPr>
        <w:pStyle w:val="BodyText"/>
      </w:pPr>
      <w:r>
        <w:t xml:space="preserve">Для record-level действий без новой схемы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может использовать старые права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чтобы не ломать существующие сценарии. Для новых промышленных контуров рекомендуется передавать</w:t>
      </w:r>
      <w:r>
        <w:t xml:space="preserve"> </w:t>
      </w:r>
      <w:r>
        <w:rPr>
          <w:rStyle w:val="VerbatimChar"/>
        </w:rPr>
        <w:t xml:space="preserve">PermissionScheme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schemeKey</w:t>
      </w:r>
      <w:r>
        <w:t xml:space="preserve">: deny имеет приоритет над grant, wildcard-правило не может перекрыть явный запрет.</w:t>
      </w:r>
    </w:p>
    <w:p>
      <w:pPr>
        <w:pStyle w:val="BodyText"/>
      </w:pPr>
      <w:r>
        <w:t xml:space="preserve">Field security и view security вызываются через</w:t>
      </w:r>
      <w:r>
        <w:t xml:space="preserve"> </w:t>
      </w:r>
      <w:r>
        <w:rPr>
          <w:rStyle w:val="VerbatimChar"/>
        </w:rPr>
        <w:t xml:space="preserve">CheckFieldAccess()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CheckViewAccess()</w:t>
      </w:r>
      <w:r>
        <w:t xml:space="preserve">.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работает с логическими field/view keys и не должен знать физические номера полей предметных записей. Номера полей и способы ввода остаются ответственностью доменного модуля,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he3/ws</w:t>
      </w:r>
      <w:r>
        <w:t xml:space="preserve">.</w:t>
      </w:r>
    </w:p>
    <w:p>
      <w:pPr>
        <w:pStyle w:val="BodyText"/>
      </w:pPr>
      <w:r>
        <w:t xml:space="preserve">Batch-проверка доступна через</w:t>
      </w:r>
      <w:r>
        <w:t xml:space="preserve"> </w:t>
      </w:r>
      <w:r>
        <w:rPr>
          <w:rStyle w:val="VerbatimChar"/>
        </w:rPr>
        <w:t xml:space="preserve">BatchCheckPermissions()</w:t>
      </w:r>
      <w:r>
        <w:t xml:space="preserve">. Она нужна спискам, фильтрам, карточкам и API, чтобы не выполнять тяжелую проверку отдельно для каждого элемента интерфейса.</w:t>
      </w:r>
    </w:p>
    <w:p>
      <w:pPr>
        <w:pStyle w:val="BodyText"/>
      </w:pPr>
      <w:r>
        <w:t xml:space="preserve">Если решение требует audit,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формирует audit envelope без сохранения скрытого содержимого. Постоянное хранение audit, доменная история и события выполняются соответствующими владельцами контуров.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безопасности</dc:title>
  <dc:creator/>
  <cp:keywords/>
  <dcterms:created xsi:type="dcterms:W3CDTF">2026-10-03T06:53:17Z</dcterms:created>
  <dcterms:modified xsi:type="dcterms:W3CDTF">2026-10-03T06:53:17Z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