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d749930551cd9e16feab4d57f59e8a38b098ff3"/>
    <w:p>
      <w:pPr>
        <w:pStyle w:val="Heading1"/>
      </w:pPr>
      <w:r>
        <w:t xml:space="preserve">[I128-2171] БД, открываемые в режиме ReadOnly (с минусом перед именем) каждый раз открываются заново в функции i128f::OpenDbByMnemonicName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[I128-2171] БД, открываемые в режиме ReadOnly (с минусом перед именем) каждый раз открываются заново в функции i128f::OpenDbByMnemonicName</dc:title>
  <dc:creator/>
  <cp:keywords/>
  <dcterms:created xsi:type="dcterms:W3CDTF">2026-10-06T17:13:40Z</dcterms:created>
  <dcterms:modified xsi:type="dcterms:W3CDTF">2026-10-06T17:13:40Z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