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[I128-2837] AITool policy и safe execution</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6" w:name="i128-2837-aitool-policy-и-safe-execution"/>
    <w:p>
      <w:pPr>
        <w:pStyle w:val="Heading1"/>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01"/>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04"/>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25"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3"/>
    <w:p>
      <w:pPr>
        <w:pStyle w:val="Heading3"/>
      </w:pPr>
      <w:r>
        <w:t xml:space="preserve">1.8. 🔗 blocks: I128-2833</w:t>
      </w:r>
    </w:p>
    <w:p>
      <w:pPr>
        <w:pStyle w:val="BlockText"/>
      </w:pPr>
      <w:hyperlink r:id="rId23">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End w:id="25"/>
    <w:bookmarkEnd w:id="2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[I128-2837] AITool policy и safe execution</dc:title>
  <dc:creator/>
  <cp:keywords/>
  <dcterms:created xsi:type="dcterms:W3CDTF">2026-10-06T12:22:33Z</dcterms:created>
  <dcterms:modified xsi:type="dcterms:W3CDTF">2026-10-06T12:22:33Z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