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[I128-2176] 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057fa1fac23412cab709701174fe7f2353606"/>
    <w:p>
      <w:pPr>
        <w:pStyle w:val="Heading1"/>
      </w:pPr>
      <w:r>
        <w:t xml:space="preserve">[I128-2176] Доступ к модулю i128f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i128f в интеграциях и технической настройке системы.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i128f/GetInstance. Раздел подключен из i128f/Root, а i128f/Purpose упоминает получение общего экземпляра модуля.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доступе к модулю i128f через i128f::getInstance(). Описано, что метод возвращает тот же экземпляр, который создает UseModule(</w:t>
      </w:r>
      <w:r>
        <w:t xml:space="preserve">‘i128f’</w:t>
      </w:r>
      <w:r>
        <w:t xml:space="preserve">), и сохраняет общий порядок инициализации модуля через Init() и PostInit(). Приведен пример обращения к GetDb(</w:t>
      </w:r>
      <w:r>
        <w:t xml:space="preserve">‘IBIS’</w:t>
      </w:r>
      <w:r>
        <w:t xml:space="preserve">) через статическую точку входа.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?id=Help/Show&amp;m=i128f/GetInstance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6"/>
    <w:p>
      <w:pPr>
        <w:pStyle w:val="Heading3"/>
      </w:pPr>
      <w:r>
        <w:t xml:space="preserve">1.1. 🔗 Соответствует задача: I128-2156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[I128-2176] Доступ к модулю i128f через getInstance</dc:title>
  <dc:creator/>
  <cp:keywords/>
  <dcterms:created xsi:type="dcterms:W3CDTF">2026-10-02T23:15:49Z</dcterms:created>
  <dcterms:modified xsi:type="dcterms:W3CDTF">2026-10-02T23:15:49Z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