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[I128-2145] Изменен способ показа авторитетной записи на стандартный в зависимости от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e6bb2d65d0b207cb2940c1cbe77d13b7f52f6d"/>
    <w:p>
      <w:pPr>
        <w:pStyle w:val="Heading1"/>
      </w:pPr>
      <w:r>
        <w:t xml:space="preserve">[I128-2145] Изменен способ показа авторитетной записи на стандартный в зависимости от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13:58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0"/>
    <w:p>
      <w:pPr>
        <w:pStyle w:val="Heading3"/>
      </w:pPr>
      <w:r>
        <w:t xml:space="preserve">1.1. 🔗 Соответствует задача: I128-2200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[I128-2200]</w:t>
        </w:r>
      </w:hyperlink>
      <w:r>
        <w:t xml:space="preserve"> </w:t>
      </w:r>
      <w:r>
        <w:t xml:space="preserve">Изменен способ показа авторитетной записи на стандартный в зависимости от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[I128-2145] Изменен способ показа авторитетной записи на стандартный в зависимости от рабочего листа</dc:title>
  <dc:creator/>
  <cp:keywords/>
  <dcterms:created xsi:type="dcterms:W3CDTF">2026-10-02T23:15:22Z</dcterms:created>
  <dcterms:modified xsi:type="dcterms:W3CDTF">2026-10-02T23:15:22Z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